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EEFB" w14:textId="77777777" w:rsidR="008027FC" w:rsidRPr="008027FC" w:rsidRDefault="008027FC" w:rsidP="008027FC">
      <w:pPr>
        <w:jc w:val="center"/>
        <w:rPr>
          <w:b/>
          <w:bCs/>
          <w:u w:val="single"/>
        </w:rPr>
      </w:pPr>
      <w:r w:rsidRPr="008027FC">
        <w:rPr>
          <w:b/>
          <w:bCs/>
          <w:u w:val="single"/>
        </w:rPr>
        <w:t>CADDA Knowledge Transfer Voucher (CKTV) Funding: Operational Guidelines</w:t>
      </w:r>
    </w:p>
    <w:p w14:paraId="57D609B9" w14:textId="1D0DDDFC" w:rsidR="008027FC" w:rsidRPr="00343626" w:rsidRDefault="00547A81" w:rsidP="008027FC">
      <w:pPr>
        <w:rPr>
          <w:b/>
          <w:bCs/>
          <w:u w:val="single"/>
        </w:rPr>
      </w:pPr>
      <w:r>
        <w:rPr>
          <w:b/>
          <w:bCs/>
          <w:u w:val="single"/>
        </w:rPr>
        <w:t xml:space="preserve">About </w:t>
      </w:r>
      <w:r w:rsidR="008027FC" w:rsidRPr="00343626">
        <w:rPr>
          <w:b/>
          <w:bCs/>
          <w:u w:val="single"/>
        </w:rPr>
        <w:t>CADDA</w:t>
      </w:r>
    </w:p>
    <w:p w14:paraId="05253E27" w14:textId="722882D6" w:rsidR="008027FC" w:rsidRDefault="008027FC" w:rsidP="008027FC">
      <w:r>
        <w:t xml:space="preserve">Diagnostics are used in approximately 70% of clinical decision-making and </w:t>
      </w:r>
      <w:proofErr w:type="gramStart"/>
      <w:r>
        <w:t>have the ability to</w:t>
      </w:r>
      <w:proofErr w:type="gramEnd"/>
      <w:r>
        <w:t xml:space="preserve"> help transform </w:t>
      </w:r>
      <w:r w:rsidRPr="008027FC">
        <w:rPr>
          <w:b/>
          <w:bCs/>
          <w:u w:val="single"/>
        </w:rPr>
        <w:t>human and animal health</w:t>
      </w:r>
      <w:r>
        <w:t xml:space="preserve">. The vision of CADDA is to provide a conduit by which new innovative diagnostic tools are delivered to human and animal health services. Through coalescing and harnessing the breadth of world class expertise in the UK across universities and research institutes, industry, SMEs, clinicians/end users, NGOs, regulators and investors we aim to help bring high quality innovative diagnostics faster to application and market. CADDA is a project co-Funded through the UKRI Research England RED fund, the University of Kent, The University of Manchester, </w:t>
      </w:r>
      <w:r w:rsidR="004C0419">
        <w:t xml:space="preserve">and </w:t>
      </w:r>
      <w:r>
        <w:t>University College London (UCL)</w:t>
      </w:r>
      <w:r w:rsidR="004C0419">
        <w:t>, with additional contributions from our partner organisations</w:t>
      </w:r>
      <w:r>
        <w:t xml:space="preserve">. </w:t>
      </w:r>
      <w:r w:rsidR="004C0419">
        <w:t>T</w:t>
      </w:r>
      <w:r w:rsidRPr="00546A53">
        <w:t>he three universities have contributed significant funding to support the CADDA project by foregoing all indirect costs and overheads, without which the overall project, and support this will provide to others including the CKTVs, would not be possible.</w:t>
      </w:r>
    </w:p>
    <w:p w14:paraId="70E51FF3" w14:textId="77777777" w:rsidR="0081052F" w:rsidRDefault="0081052F" w:rsidP="008027FC">
      <w:pPr>
        <w:rPr>
          <w:b/>
          <w:bCs/>
          <w:u w:val="single"/>
        </w:rPr>
      </w:pPr>
    </w:p>
    <w:p w14:paraId="00CE14A5" w14:textId="049F5DFB" w:rsidR="008027FC" w:rsidRPr="00343626" w:rsidRDefault="00547A81" w:rsidP="008027FC">
      <w:pPr>
        <w:rPr>
          <w:b/>
          <w:bCs/>
          <w:u w:val="single"/>
        </w:rPr>
      </w:pPr>
      <w:r>
        <w:rPr>
          <w:b/>
          <w:bCs/>
          <w:u w:val="single"/>
        </w:rPr>
        <w:t>What are</w:t>
      </w:r>
      <w:r w:rsidR="008027FC" w:rsidRPr="00343626">
        <w:rPr>
          <w:b/>
          <w:bCs/>
          <w:u w:val="single"/>
        </w:rPr>
        <w:t xml:space="preserve"> CADDA KTVs</w:t>
      </w:r>
      <w:r>
        <w:rPr>
          <w:b/>
          <w:bCs/>
          <w:u w:val="single"/>
        </w:rPr>
        <w:t>?</w:t>
      </w:r>
    </w:p>
    <w:p w14:paraId="78803D58" w14:textId="742B76A5" w:rsidR="00E12B58" w:rsidRDefault="008027FC" w:rsidP="008027FC">
      <w:r>
        <w:t>CADDA K</w:t>
      </w:r>
      <w:r w:rsidR="00963519">
        <w:t xml:space="preserve">nowledge </w:t>
      </w:r>
      <w:r>
        <w:t>T</w:t>
      </w:r>
      <w:r w:rsidR="00963519">
        <w:t xml:space="preserve">ransfer </w:t>
      </w:r>
      <w:r>
        <w:t>V</w:t>
      </w:r>
      <w:r w:rsidR="00963519">
        <w:t>oucher</w:t>
      </w:r>
      <w:r>
        <w:t xml:space="preserve"> funds (CKTVs) </w:t>
      </w:r>
      <w:r w:rsidR="00963519">
        <w:t xml:space="preserve">provide </w:t>
      </w:r>
      <w:r w:rsidR="004C0419">
        <w:t xml:space="preserve">(a) </w:t>
      </w:r>
      <w:r w:rsidR="00546A53">
        <w:t xml:space="preserve">industry partners </w:t>
      </w:r>
      <w:r w:rsidR="0080425E">
        <w:t xml:space="preserve">and organisations </w:t>
      </w:r>
      <w:r w:rsidR="00963519">
        <w:t xml:space="preserve">access to leading </w:t>
      </w:r>
      <w:r w:rsidR="004C0419">
        <w:t xml:space="preserve">academic </w:t>
      </w:r>
      <w:r w:rsidR="00963519">
        <w:t xml:space="preserve">experts and research facilities </w:t>
      </w:r>
      <w:r w:rsidR="004C0419">
        <w:t xml:space="preserve">at the three partner University institutions, and (b) </w:t>
      </w:r>
      <w:r w:rsidR="00D846FD">
        <w:t xml:space="preserve">leading academics at these </w:t>
      </w:r>
      <w:r w:rsidR="004C0419">
        <w:t xml:space="preserve">universities </w:t>
      </w:r>
      <w:r w:rsidR="00D846FD">
        <w:t xml:space="preserve">the opportunity to </w:t>
      </w:r>
      <w:r w:rsidR="00C43F8E">
        <w:t xml:space="preserve">collaborate with industry, NHS and other organisations on real world </w:t>
      </w:r>
      <w:r w:rsidR="00E80023">
        <w:t>innovations, technologies and challenges</w:t>
      </w:r>
      <w:r w:rsidR="004C0419">
        <w:t xml:space="preserve"> relevant to diagnostics development and application</w:t>
      </w:r>
      <w:r w:rsidR="00E80023">
        <w:t xml:space="preserve">. </w:t>
      </w:r>
      <w:r w:rsidR="00193181">
        <w:t>A grant of up to £50000 may be requested by the academic partner so that</w:t>
      </w:r>
      <w:r w:rsidR="00963519">
        <w:t xml:space="preserve"> </w:t>
      </w:r>
      <w:r w:rsidR="0080425E">
        <w:t>businesses</w:t>
      </w:r>
      <w:r w:rsidR="00963519">
        <w:t xml:space="preserve"> can work with </w:t>
      </w:r>
      <w:r w:rsidR="00193181">
        <w:t>the</w:t>
      </w:r>
      <w:r w:rsidR="00963519">
        <w:t xml:space="preserve"> research organisation</w:t>
      </w:r>
      <w:r w:rsidR="00193181">
        <w:t>.</w:t>
      </w:r>
      <w:r w:rsidR="007B3A57">
        <w:t xml:space="preserve"> Details around </w:t>
      </w:r>
      <w:r w:rsidR="00645551">
        <w:t xml:space="preserve">what can be </w:t>
      </w:r>
      <w:proofErr w:type="gramStart"/>
      <w:r w:rsidR="007B3A57">
        <w:t>fund</w:t>
      </w:r>
      <w:r w:rsidR="00645551">
        <w:t>ed</w:t>
      </w:r>
      <w:proofErr w:type="gramEnd"/>
      <w:r w:rsidR="00645551">
        <w:t xml:space="preserve"> and partner requirements</w:t>
      </w:r>
      <w:r w:rsidR="007B3A57">
        <w:t xml:space="preserve"> are provided below.</w:t>
      </w:r>
    </w:p>
    <w:p w14:paraId="6307346C" w14:textId="77777777" w:rsidR="00E12B58" w:rsidRDefault="00E12B58" w:rsidP="008027FC"/>
    <w:p w14:paraId="3DCBAEC9" w14:textId="1FABE7B8" w:rsidR="00963519" w:rsidRPr="008D5310" w:rsidRDefault="00E12B58" w:rsidP="008027FC">
      <w:pPr>
        <w:rPr>
          <w:b/>
          <w:bCs/>
          <w:u w:val="single"/>
        </w:rPr>
      </w:pPr>
      <w:r w:rsidRPr="008D5310">
        <w:rPr>
          <w:b/>
          <w:bCs/>
          <w:u w:val="single"/>
        </w:rPr>
        <w:t>What we are looking for</w:t>
      </w:r>
      <w:r w:rsidR="00963519" w:rsidRPr="008D5310">
        <w:rPr>
          <w:b/>
          <w:bCs/>
          <w:u w:val="single"/>
        </w:rPr>
        <w:t xml:space="preserve"> </w:t>
      </w:r>
    </w:p>
    <w:p w14:paraId="68DA0811" w14:textId="56AE1D5B" w:rsidR="008027FC" w:rsidRDefault="00963519" w:rsidP="008027FC">
      <w:r w:rsidRPr="00357D8A">
        <w:t xml:space="preserve">CKTVs are </w:t>
      </w:r>
      <w:r w:rsidR="00357D8A" w:rsidRPr="00357D8A">
        <w:t xml:space="preserve">designed to overcome challenges that businesses </w:t>
      </w:r>
      <w:r w:rsidR="00504E46">
        <w:t xml:space="preserve">and academics </w:t>
      </w:r>
      <w:r w:rsidR="00357D8A" w:rsidRPr="00357D8A">
        <w:t>may be facing or to create opportunities through innovation.</w:t>
      </w:r>
      <w:r w:rsidR="00357D8A">
        <w:rPr>
          <w:b/>
          <w:bCs/>
        </w:rPr>
        <w:t xml:space="preserve"> </w:t>
      </w:r>
      <w:r w:rsidR="00357D8A" w:rsidRPr="00357D8A">
        <w:t>They are</w:t>
      </w:r>
      <w:r w:rsidR="008027FC">
        <w:t xml:space="preserve"> co-funded </w:t>
      </w:r>
      <w:r w:rsidR="008027FC" w:rsidRPr="00357D8A">
        <w:t>pump priming awards</w:t>
      </w:r>
      <w:r w:rsidR="008027FC">
        <w:t xml:space="preserve"> for </w:t>
      </w:r>
      <w:r w:rsidR="00504E46">
        <w:t xml:space="preserve">activities </w:t>
      </w:r>
      <w:r w:rsidR="008027FC">
        <w:t>(</w:t>
      </w:r>
      <w:r w:rsidR="008027FC" w:rsidRPr="008027FC">
        <w:rPr>
          <w:b/>
          <w:bCs/>
          <w:u w:val="single"/>
        </w:rPr>
        <w:t xml:space="preserve">involving at least one industry </w:t>
      </w:r>
      <w:r w:rsidR="008027FC" w:rsidRPr="00357D8A">
        <w:rPr>
          <w:b/>
          <w:bCs/>
          <w:u w:val="single"/>
        </w:rPr>
        <w:t>partner and one academic partner</w:t>
      </w:r>
      <w:r w:rsidR="008027FC">
        <w:t xml:space="preserve">) across the diagnostics pipeline </w:t>
      </w:r>
      <w:r w:rsidR="00504E46">
        <w:t xml:space="preserve">ultimately </w:t>
      </w:r>
      <w:r w:rsidR="008027FC">
        <w:t xml:space="preserve">aimed at testbed adoption of knowhow or technology into SMEs/commercial partners, scale up, clinical validation, business development and access to expertise. </w:t>
      </w:r>
      <w:r w:rsidR="00357D8A">
        <w:t>They can be used to</w:t>
      </w:r>
      <w:r w:rsidR="008027FC">
        <w:t>:</w:t>
      </w:r>
    </w:p>
    <w:p w14:paraId="0F7466F8" w14:textId="09A863AA" w:rsidR="008027FC" w:rsidRDefault="00357D8A" w:rsidP="008027FC">
      <w:pPr>
        <w:pStyle w:val="ListParagraph"/>
        <w:numPr>
          <w:ilvl w:val="0"/>
          <w:numId w:val="1"/>
        </w:numPr>
      </w:pPr>
      <w:r>
        <w:t xml:space="preserve">facilitate </w:t>
      </w:r>
      <w:r w:rsidR="008027FC">
        <w:t>SME access to technologies, equipment and knowhow through the partners</w:t>
      </w:r>
    </w:p>
    <w:p w14:paraId="10527F9C" w14:textId="1C0433AC" w:rsidR="008027FC" w:rsidRDefault="008027FC" w:rsidP="008027FC">
      <w:pPr>
        <w:pStyle w:val="ListParagraph"/>
        <w:numPr>
          <w:ilvl w:val="0"/>
          <w:numId w:val="1"/>
        </w:numPr>
      </w:pPr>
      <w:r>
        <w:t>support secondment of CADDA partner experts to commercial entities to embed specific knowhow into SMEs</w:t>
      </w:r>
    </w:p>
    <w:p w14:paraId="47F63559" w14:textId="683F08D3" w:rsidR="008027FC" w:rsidRDefault="00357D8A" w:rsidP="008027FC">
      <w:pPr>
        <w:pStyle w:val="ListParagraph"/>
        <w:numPr>
          <w:ilvl w:val="0"/>
          <w:numId w:val="1"/>
        </w:numPr>
      </w:pPr>
      <w:r>
        <w:lastRenderedPageBreak/>
        <w:t xml:space="preserve">enable </w:t>
      </w:r>
      <w:r w:rsidR="008027FC">
        <w:t xml:space="preserve">partner-SME mentoring or consultancy. </w:t>
      </w:r>
    </w:p>
    <w:p w14:paraId="13F53B19" w14:textId="2DB76CE5" w:rsidR="00504E46" w:rsidRDefault="00504E46" w:rsidP="008027FC">
      <w:pPr>
        <w:pStyle w:val="ListParagraph"/>
        <w:numPr>
          <w:ilvl w:val="0"/>
          <w:numId w:val="1"/>
        </w:numPr>
      </w:pPr>
      <w:r>
        <w:t>support access of academic ideas and technologies to industry support for further development along the TRL pipeline</w:t>
      </w:r>
    </w:p>
    <w:p w14:paraId="3377DE13" w14:textId="1DD171D2" w:rsidR="00C56FE9" w:rsidRPr="00C56FE9" w:rsidRDefault="00C56FE9" w:rsidP="00C56FE9">
      <w:pPr>
        <w:pStyle w:val="ListParagraph"/>
        <w:numPr>
          <w:ilvl w:val="0"/>
          <w:numId w:val="1"/>
        </w:numPr>
        <w:spacing w:after="100" w:afterAutospacing="1" w:line="240" w:lineRule="auto"/>
        <w:rPr>
          <w:rFonts w:cstheme="minorHAnsi"/>
          <w:color w:val="000000" w:themeColor="text1"/>
        </w:rPr>
      </w:pPr>
      <w:r>
        <w:rPr>
          <w:rFonts w:cstheme="minorHAnsi"/>
          <w:color w:val="000000" w:themeColor="text1"/>
        </w:rPr>
        <w:t>p</w:t>
      </w:r>
      <w:r w:rsidRPr="00C56FE9">
        <w:rPr>
          <w:rFonts w:cstheme="minorHAnsi"/>
          <w:color w:val="000000" w:themeColor="text1"/>
        </w:rPr>
        <w:t>rogress products and services up the technology readiness levels (TRLs) scale</w:t>
      </w:r>
      <w:r>
        <w:rPr>
          <w:rFonts w:cstheme="minorHAnsi"/>
          <w:color w:val="000000" w:themeColor="text1"/>
        </w:rPr>
        <w:t xml:space="preserve"> including:</w:t>
      </w:r>
    </w:p>
    <w:p w14:paraId="188F41AB" w14:textId="589BC57B" w:rsidR="00C56FE9" w:rsidRPr="00C56FE9" w:rsidRDefault="00C56FE9" w:rsidP="00C56FE9">
      <w:pPr>
        <w:pStyle w:val="ListParagraph"/>
        <w:numPr>
          <w:ilvl w:val="1"/>
          <w:numId w:val="1"/>
        </w:numPr>
        <w:spacing w:after="100" w:afterAutospacing="1" w:line="240" w:lineRule="auto"/>
        <w:rPr>
          <w:color w:val="000000" w:themeColor="text1"/>
        </w:rPr>
      </w:pPr>
      <w:r>
        <w:rPr>
          <w:color w:val="000000" w:themeColor="text1"/>
        </w:rPr>
        <w:t>developing new</w:t>
      </w:r>
      <w:r w:rsidRPr="00C56FE9">
        <w:rPr>
          <w:color w:val="000000" w:themeColor="text1"/>
        </w:rPr>
        <w:t xml:space="preserve"> product</w:t>
      </w:r>
      <w:r>
        <w:rPr>
          <w:color w:val="000000" w:themeColor="text1"/>
        </w:rPr>
        <w:t>s</w:t>
      </w:r>
      <w:r w:rsidRPr="00C56FE9">
        <w:rPr>
          <w:color w:val="000000" w:themeColor="text1"/>
        </w:rPr>
        <w:t>, process</w:t>
      </w:r>
      <w:r>
        <w:rPr>
          <w:color w:val="000000" w:themeColor="text1"/>
        </w:rPr>
        <w:t>es</w:t>
      </w:r>
      <w:r w:rsidRPr="00C56FE9">
        <w:rPr>
          <w:color w:val="000000" w:themeColor="text1"/>
        </w:rPr>
        <w:t xml:space="preserve"> or service development</w:t>
      </w:r>
    </w:p>
    <w:p w14:paraId="4AD6EA87" w14:textId="6FD73AC4" w:rsidR="00C56FE9" w:rsidRPr="00C56FE9" w:rsidRDefault="00C56FE9" w:rsidP="00C56FE9">
      <w:pPr>
        <w:pStyle w:val="ListParagraph"/>
        <w:numPr>
          <w:ilvl w:val="1"/>
          <w:numId w:val="1"/>
        </w:numPr>
        <w:spacing w:after="100" w:afterAutospacing="1" w:line="240" w:lineRule="auto"/>
        <w:rPr>
          <w:rFonts w:cstheme="minorHAnsi"/>
          <w:color w:val="000000" w:themeColor="text1"/>
        </w:rPr>
      </w:pPr>
      <w:r w:rsidRPr="00C56FE9">
        <w:rPr>
          <w:rFonts w:cstheme="minorHAnsi"/>
          <w:color w:val="000000" w:themeColor="text1"/>
        </w:rPr>
        <w:t>validat</w:t>
      </w:r>
      <w:r>
        <w:rPr>
          <w:rFonts w:cstheme="minorHAnsi"/>
          <w:color w:val="000000" w:themeColor="text1"/>
        </w:rPr>
        <w:t>ing products</w:t>
      </w:r>
      <w:r w:rsidRPr="00C56FE9">
        <w:rPr>
          <w:rFonts w:cstheme="minorHAnsi"/>
          <w:color w:val="000000" w:themeColor="text1"/>
        </w:rPr>
        <w:t xml:space="preserve"> and small-scale prototyping</w:t>
      </w:r>
    </w:p>
    <w:p w14:paraId="62898CA0" w14:textId="264AA3D2" w:rsidR="00C56FE9" w:rsidRDefault="00C56FE9" w:rsidP="00C56FE9">
      <w:pPr>
        <w:pStyle w:val="ListParagraph"/>
        <w:numPr>
          <w:ilvl w:val="1"/>
          <w:numId w:val="1"/>
        </w:numPr>
        <w:spacing w:after="100" w:afterAutospacing="1" w:line="240" w:lineRule="auto"/>
        <w:rPr>
          <w:color w:val="000000" w:themeColor="text1"/>
        </w:rPr>
      </w:pPr>
      <w:r>
        <w:rPr>
          <w:color w:val="000000" w:themeColor="text1"/>
        </w:rPr>
        <w:t>d</w:t>
      </w:r>
      <w:r w:rsidRPr="00C56FE9">
        <w:rPr>
          <w:color w:val="000000" w:themeColor="text1"/>
        </w:rPr>
        <w:t>efin</w:t>
      </w:r>
      <w:r>
        <w:rPr>
          <w:color w:val="000000" w:themeColor="text1"/>
        </w:rPr>
        <w:t>ing</w:t>
      </w:r>
      <w:r w:rsidRPr="00C56FE9">
        <w:rPr>
          <w:color w:val="000000" w:themeColor="text1"/>
        </w:rPr>
        <w:t xml:space="preserve"> innovative business models or routes to diagnostic adoption</w:t>
      </w:r>
    </w:p>
    <w:p w14:paraId="59A806A9" w14:textId="0B3C5A78" w:rsidR="00C56FE9" w:rsidRPr="00590850" w:rsidRDefault="00C56FE9" w:rsidP="00590850">
      <w:pPr>
        <w:pStyle w:val="ListParagraph"/>
        <w:numPr>
          <w:ilvl w:val="1"/>
          <w:numId w:val="1"/>
        </w:numPr>
        <w:spacing w:after="100" w:afterAutospacing="1" w:line="240" w:lineRule="auto"/>
        <w:rPr>
          <w:rFonts w:cstheme="minorHAnsi"/>
          <w:color w:val="000000" w:themeColor="text1"/>
        </w:rPr>
      </w:pPr>
      <w:r>
        <w:rPr>
          <w:rFonts w:cstheme="minorHAnsi"/>
          <w:color w:val="000000" w:themeColor="text1"/>
        </w:rPr>
        <w:t>p</w:t>
      </w:r>
      <w:r w:rsidRPr="00C56FE9">
        <w:rPr>
          <w:rFonts w:cstheme="minorHAnsi"/>
          <w:color w:val="000000" w:themeColor="text1"/>
        </w:rPr>
        <w:t>roof of concept work.</w:t>
      </w:r>
    </w:p>
    <w:p w14:paraId="22908C44" w14:textId="4ABDE739" w:rsidR="009D0ED7" w:rsidRDefault="002059F6" w:rsidP="008027FC">
      <w:r>
        <w:t>CKTV’s</w:t>
      </w:r>
      <w:r w:rsidR="008027FC">
        <w:t xml:space="preserve"> support proposals that </w:t>
      </w:r>
      <w:r w:rsidR="008027FC" w:rsidRPr="003F61D6">
        <w:rPr>
          <w:b/>
          <w:bCs/>
        </w:rPr>
        <w:t>focus on strategic work to forward diagnostics development towards application and commercialisation.</w:t>
      </w:r>
      <w:r w:rsidR="008027FC">
        <w:t xml:space="preserve"> </w:t>
      </w:r>
      <w:r w:rsidR="00577946">
        <w:t>They</w:t>
      </w:r>
      <w:r w:rsidR="00223504">
        <w:t xml:space="preserve"> should act as a springboard for further development and funding applications (with direct or implicit industrial and, where appropriate, clinical collaboration) and</w:t>
      </w:r>
      <w:r w:rsidR="00223504" w:rsidRPr="00577946">
        <w:t xml:space="preserve"> </w:t>
      </w:r>
      <w:r w:rsidR="00223504" w:rsidRPr="00577946">
        <w:rPr>
          <w:u w:val="single"/>
        </w:rPr>
        <w:t>an important aspect of the review process will be to demonstrate how any project will be further developed beyond any CKTV award</w:t>
      </w:r>
      <w:r w:rsidR="00223504" w:rsidRPr="00577946">
        <w:t>.</w:t>
      </w:r>
    </w:p>
    <w:p w14:paraId="35D6EF2B" w14:textId="010263AF" w:rsidR="009D0ED7" w:rsidRDefault="00EB38F3" w:rsidP="008027FC">
      <w:r>
        <w:t>Awardees will be required to act as advocates of CADDA, present at CADDA events, produce a detailed report at the end of the award, and provide follow up reporting metrics on the impact of the award as required by CADDA and Research England.</w:t>
      </w:r>
    </w:p>
    <w:p w14:paraId="15B2F668" w14:textId="77777777" w:rsidR="00EB38F3" w:rsidRDefault="00EB38F3" w:rsidP="008027FC"/>
    <w:p w14:paraId="33A42D8D" w14:textId="0462831A" w:rsidR="00E80023" w:rsidRPr="00590850" w:rsidRDefault="00E80023" w:rsidP="008027FC">
      <w:pPr>
        <w:rPr>
          <w:b/>
          <w:bCs/>
          <w:u w:val="single"/>
        </w:rPr>
      </w:pPr>
      <w:r w:rsidRPr="00590850">
        <w:rPr>
          <w:b/>
          <w:bCs/>
          <w:u w:val="single"/>
        </w:rPr>
        <w:t xml:space="preserve">Who </w:t>
      </w:r>
      <w:r w:rsidR="0082746C">
        <w:rPr>
          <w:b/>
          <w:bCs/>
          <w:u w:val="single"/>
        </w:rPr>
        <w:t>can</w:t>
      </w:r>
      <w:r w:rsidR="00657CC6">
        <w:rPr>
          <w:b/>
          <w:bCs/>
          <w:u w:val="single"/>
        </w:rPr>
        <w:t xml:space="preserve"> apply </w:t>
      </w:r>
      <w:r w:rsidRPr="00590850">
        <w:rPr>
          <w:b/>
          <w:bCs/>
          <w:u w:val="single"/>
        </w:rPr>
        <w:t>for a CKTV?</w:t>
      </w:r>
    </w:p>
    <w:p w14:paraId="3D44BBB4" w14:textId="6FA00C94" w:rsidR="00657CC6" w:rsidRDefault="002E06CC" w:rsidP="008027FC">
      <w:r w:rsidRPr="002E06CC">
        <w:t xml:space="preserve">The Voucher </w:t>
      </w:r>
      <w:r w:rsidR="0052543A">
        <w:t>will</w:t>
      </w:r>
      <w:r w:rsidRPr="002E06CC">
        <w:t xml:space="preserve"> be </w:t>
      </w:r>
      <w:r w:rsidR="005E2025">
        <w:t>awarded to</w:t>
      </w:r>
      <w:r w:rsidRPr="002E06CC">
        <w:t xml:space="preserve"> one of the </w:t>
      </w:r>
      <w:r w:rsidR="00657CC6">
        <w:t xml:space="preserve">following </w:t>
      </w:r>
      <w:r w:rsidRPr="002E06CC">
        <w:t>three research organisations</w:t>
      </w:r>
      <w:r w:rsidR="00F51EB9">
        <w:t>, who must be the lead applicant</w:t>
      </w:r>
      <w:r w:rsidR="00657CC6">
        <w:t>:</w:t>
      </w:r>
    </w:p>
    <w:p w14:paraId="13B7EF03" w14:textId="77777777" w:rsidR="00657CC6" w:rsidRDefault="00657CC6" w:rsidP="00657CC6">
      <w:pPr>
        <w:pStyle w:val="ListParagraph"/>
        <w:numPr>
          <w:ilvl w:val="0"/>
          <w:numId w:val="19"/>
        </w:numPr>
      </w:pPr>
      <w:r>
        <w:t>University of Kent</w:t>
      </w:r>
    </w:p>
    <w:p w14:paraId="44107EA0" w14:textId="6A42B9C5" w:rsidR="00657CC6" w:rsidRDefault="00837EE2" w:rsidP="00657CC6">
      <w:pPr>
        <w:pStyle w:val="ListParagraph"/>
        <w:numPr>
          <w:ilvl w:val="0"/>
          <w:numId w:val="19"/>
        </w:numPr>
      </w:pPr>
      <w:r>
        <w:t xml:space="preserve">The </w:t>
      </w:r>
      <w:r w:rsidR="00657CC6">
        <w:t>University of Manchester</w:t>
      </w:r>
    </w:p>
    <w:p w14:paraId="5CC3E6C6" w14:textId="0C13464F" w:rsidR="00BA60EA" w:rsidRDefault="00657CC6" w:rsidP="00657CC6">
      <w:pPr>
        <w:pStyle w:val="ListParagraph"/>
        <w:numPr>
          <w:ilvl w:val="0"/>
          <w:numId w:val="19"/>
        </w:numPr>
      </w:pPr>
      <w:r>
        <w:t>U</w:t>
      </w:r>
      <w:r w:rsidR="00837EE2">
        <w:t xml:space="preserve">niversity </w:t>
      </w:r>
      <w:r>
        <w:t>C</w:t>
      </w:r>
      <w:r w:rsidR="00837EE2">
        <w:t xml:space="preserve">ollege </w:t>
      </w:r>
      <w:r>
        <w:t>L</w:t>
      </w:r>
      <w:r w:rsidR="00837EE2">
        <w:t>ondon</w:t>
      </w:r>
    </w:p>
    <w:p w14:paraId="37DFED5B" w14:textId="50CD7C09" w:rsidR="000F0053" w:rsidRDefault="00C9757A" w:rsidP="000F0053">
      <w:r>
        <w:t>Application</w:t>
      </w:r>
      <w:r w:rsidR="00590850">
        <w:t>s</w:t>
      </w:r>
      <w:r>
        <w:t xml:space="preserve"> </w:t>
      </w:r>
      <w:r w:rsidR="00590850">
        <w:t>mu</w:t>
      </w:r>
      <w:r w:rsidR="00223504">
        <w:t>s</w:t>
      </w:r>
      <w:r w:rsidR="00590850">
        <w:t xml:space="preserve">t </w:t>
      </w:r>
      <w:r w:rsidRPr="008D5310">
        <w:rPr>
          <w:b/>
          <w:bCs/>
        </w:rPr>
        <w:t xml:space="preserve">include </w:t>
      </w:r>
      <w:r w:rsidR="00E15A21" w:rsidRPr="008D5310">
        <w:rPr>
          <w:b/>
          <w:bCs/>
        </w:rPr>
        <w:t>at least one industry partner</w:t>
      </w:r>
      <w:r w:rsidR="00A57931" w:rsidRPr="00A57931">
        <w:t xml:space="preserve"> </w:t>
      </w:r>
      <w:r w:rsidR="00A57931">
        <w:t xml:space="preserve">and have explicit industrial support </w:t>
      </w:r>
      <w:r w:rsidR="00A57931">
        <w:rPr>
          <w:b/>
          <w:bCs/>
        </w:rPr>
        <w:t>evidenced through a letter of support and match funding (in-kind, cash or a combination</w:t>
      </w:r>
      <w:r w:rsidR="00735F95">
        <w:rPr>
          <w:b/>
          <w:bCs/>
        </w:rPr>
        <w:t xml:space="preserve"> of both, see Key Requirements section</w:t>
      </w:r>
      <w:r w:rsidR="00A57931">
        <w:rPr>
          <w:b/>
          <w:bCs/>
        </w:rPr>
        <w:t>)</w:t>
      </w:r>
      <w:r w:rsidR="00590850">
        <w:t>.</w:t>
      </w:r>
      <w:r w:rsidR="006B4132" w:rsidRPr="006B4132">
        <w:t xml:space="preserve"> </w:t>
      </w:r>
      <w:r w:rsidR="00605E7D">
        <w:t xml:space="preserve">Industrial partners must be a UK registered business. </w:t>
      </w:r>
    </w:p>
    <w:p w14:paraId="228D2B1B" w14:textId="72A6484F" w:rsidR="005A0D42" w:rsidRDefault="00201D36" w:rsidP="008D5310">
      <w:pPr>
        <w:rPr>
          <w:b/>
          <w:bCs/>
        </w:rPr>
      </w:pPr>
      <w:r w:rsidRPr="002E06CC">
        <w:t xml:space="preserve">The funding is provided directly to the </w:t>
      </w:r>
      <w:r w:rsidR="00AE1AF6">
        <w:t xml:space="preserve">lead </w:t>
      </w:r>
      <w:r w:rsidRPr="002E06CC">
        <w:t xml:space="preserve">research organisation, </w:t>
      </w:r>
      <w:r w:rsidR="009F15B5">
        <w:t xml:space="preserve">and </w:t>
      </w:r>
      <w:r w:rsidR="009F15B5" w:rsidRPr="005A0D42">
        <w:rPr>
          <w:b/>
          <w:bCs/>
        </w:rPr>
        <w:t xml:space="preserve">funding will directly support activities in the academic sector, </w:t>
      </w:r>
      <w:r w:rsidR="005A0D42" w:rsidRPr="005A0D42">
        <w:rPr>
          <w:b/>
          <w:bCs/>
        </w:rPr>
        <w:t>however up to 20% of the project value can be subcontracted to industry to buy a service or to an additional SME to facilitate involvement</w:t>
      </w:r>
      <w:r w:rsidR="00E73587">
        <w:rPr>
          <w:b/>
          <w:bCs/>
        </w:rPr>
        <w:t xml:space="preserve">. </w:t>
      </w:r>
    </w:p>
    <w:p w14:paraId="7A222234" w14:textId="7030F9F4" w:rsidR="001F6C78" w:rsidRDefault="008D5310" w:rsidP="00BA60EA">
      <w:r>
        <w:t>Co-applicants from a range of other institutions are encouraged, including a</w:t>
      </w:r>
      <w:r w:rsidR="00F46928">
        <w:t>cademic teams from different universities</w:t>
      </w:r>
      <w:r>
        <w:t>.</w:t>
      </w:r>
      <w:r w:rsidR="00F46928">
        <w:t xml:space="preserve"> </w:t>
      </w:r>
      <w:r>
        <w:t>F</w:t>
      </w:r>
      <w:r w:rsidR="00F46928">
        <w:t xml:space="preserve">unded partners must be UK based and the lead applicant must be one of the partner institutions (Kent, Manchester, UCL). Academic partners on applications can be international but international partners cannot receive </w:t>
      </w:r>
      <w:r w:rsidR="00F46928">
        <w:lastRenderedPageBreak/>
        <w:t>funding.</w:t>
      </w:r>
      <w:r w:rsidR="004A6EDD">
        <w:t xml:space="preserve"> </w:t>
      </w:r>
      <w:r w:rsidR="00A74228">
        <w:rPr>
          <w:b/>
          <w:bCs/>
        </w:rPr>
        <w:t>Disbursement of funds to industry partners and co-applicants will be the responsibility of the lead applicant organisation.</w:t>
      </w:r>
    </w:p>
    <w:p w14:paraId="769C516D" w14:textId="7DC462B4" w:rsidR="00012B31" w:rsidRPr="00BD620F" w:rsidRDefault="00B75DFD" w:rsidP="00BA60EA">
      <w:pPr>
        <w:rPr>
          <w:b/>
          <w:bCs/>
        </w:rPr>
      </w:pPr>
      <w:r w:rsidRPr="00BD620F">
        <w:rPr>
          <w:b/>
          <w:bCs/>
        </w:rPr>
        <w:t>PI a</w:t>
      </w:r>
      <w:r w:rsidR="00531538" w:rsidRPr="00BD620F">
        <w:rPr>
          <w:b/>
          <w:bCs/>
        </w:rPr>
        <w:t>pplicants who have been awarded a CKTV</w:t>
      </w:r>
      <w:r w:rsidR="00605E7D" w:rsidRPr="00BD620F">
        <w:rPr>
          <w:b/>
          <w:bCs/>
        </w:rPr>
        <w:t xml:space="preserve"> in a prior funding round will not be eligible to apply</w:t>
      </w:r>
      <w:r w:rsidR="001D283E" w:rsidRPr="00BD620F">
        <w:rPr>
          <w:b/>
          <w:bCs/>
        </w:rPr>
        <w:t xml:space="preserve"> </w:t>
      </w:r>
      <w:r w:rsidRPr="00BD620F">
        <w:rPr>
          <w:b/>
          <w:bCs/>
        </w:rPr>
        <w:t xml:space="preserve">again </w:t>
      </w:r>
      <w:r w:rsidR="001D283E" w:rsidRPr="00BD620F">
        <w:rPr>
          <w:b/>
          <w:bCs/>
        </w:rPr>
        <w:t>as a lead applicant</w:t>
      </w:r>
      <w:r w:rsidRPr="00BD620F">
        <w:rPr>
          <w:b/>
          <w:bCs/>
        </w:rPr>
        <w:t xml:space="preserve"> </w:t>
      </w:r>
      <w:r w:rsidR="00605E7D" w:rsidRPr="00BD620F">
        <w:rPr>
          <w:b/>
          <w:bCs/>
        </w:rPr>
        <w:t xml:space="preserve">until their </w:t>
      </w:r>
      <w:r w:rsidRPr="00BD620F">
        <w:rPr>
          <w:b/>
          <w:bCs/>
        </w:rPr>
        <w:t xml:space="preserve">current </w:t>
      </w:r>
      <w:r w:rsidR="00605E7D" w:rsidRPr="00BD620F">
        <w:rPr>
          <w:b/>
          <w:bCs/>
        </w:rPr>
        <w:t>award is complete</w:t>
      </w:r>
      <w:r w:rsidRPr="00BD620F">
        <w:rPr>
          <w:b/>
          <w:bCs/>
        </w:rPr>
        <w:t>d</w:t>
      </w:r>
      <w:r w:rsidR="00605E7D" w:rsidRPr="00BD620F">
        <w:rPr>
          <w:b/>
          <w:bCs/>
        </w:rPr>
        <w:t>.</w:t>
      </w:r>
    </w:p>
    <w:p w14:paraId="3DE12CD5" w14:textId="0A1D2233" w:rsidR="00867F9A" w:rsidRDefault="004F4FBF" w:rsidP="00867F9A">
      <w:r>
        <w:t>Applicants who previously applied for a CKTV and were unsuccessful may reapply</w:t>
      </w:r>
      <w:r w:rsidR="00585AFB">
        <w:t xml:space="preserve">. All </w:t>
      </w:r>
      <w:r w:rsidR="00B75DFD">
        <w:t xml:space="preserve">new </w:t>
      </w:r>
      <w:r w:rsidR="00585AFB">
        <w:t>applications and re-applications will be assessed equally</w:t>
      </w:r>
      <w:r w:rsidR="00B75DFD">
        <w:t xml:space="preserve"> as new applications</w:t>
      </w:r>
      <w:r w:rsidR="00585AFB">
        <w:t>.</w:t>
      </w:r>
      <w:r w:rsidR="00867F9A" w:rsidRPr="00867F9A">
        <w:t xml:space="preserve"> </w:t>
      </w:r>
    </w:p>
    <w:p w14:paraId="35E434B4" w14:textId="64F248D6" w:rsidR="00867F9A" w:rsidRPr="00867F9A" w:rsidRDefault="00867F9A" w:rsidP="00867F9A">
      <w:r w:rsidRPr="00867F9A">
        <w:t>Applicants must be members of CADDA (i.e. formally registered on the CADDA Community of Practice) and at least one of the applicants must have participated in a CADDA activity (e.g. attended a CADDA event).</w:t>
      </w:r>
    </w:p>
    <w:p w14:paraId="4E84FFA0" w14:textId="0EC6AC12" w:rsidR="00012B31" w:rsidRDefault="00012B31" w:rsidP="00BA60EA"/>
    <w:p w14:paraId="6FF0BB30" w14:textId="059957FF" w:rsidR="004F4FBF" w:rsidRPr="006B5328" w:rsidRDefault="002D1E04" w:rsidP="00BA60EA">
      <w:pPr>
        <w:rPr>
          <w:b/>
          <w:bCs/>
          <w:u w:val="single"/>
        </w:rPr>
      </w:pPr>
      <w:r w:rsidRPr="006B5328">
        <w:rPr>
          <w:b/>
          <w:bCs/>
          <w:u w:val="single"/>
        </w:rPr>
        <w:t>How to apply</w:t>
      </w:r>
    </w:p>
    <w:p w14:paraId="2B65069C" w14:textId="051E6948" w:rsidR="009218CD" w:rsidRDefault="001D7B79" w:rsidP="008027FC">
      <w:r>
        <w:t>This is a competitive process.</w:t>
      </w:r>
      <w:r w:rsidR="00CC6E51">
        <w:t xml:space="preserve"> Funding will be awarded to </w:t>
      </w:r>
      <w:r w:rsidR="00B75DFD">
        <w:t xml:space="preserve">applications based on an evaluation and ranking process as </w:t>
      </w:r>
      <w:r w:rsidR="00CC63FC">
        <w:t>detailed below.</w:t>
      </w:r>
    </w:p>
    <w:p w14:paraId="6C5CF919" w14:textId="4DAFC069" w:rsidR="008063F1" w:rsidRPr="006B5328" w:rsidRDefault="00892A0F" w:rsidP="006B5328">
      <w:pPr>
        <w:ind w:firstLine="720"/>
        <w:rPr>
          <w:b/>
          <w:bCs/>
          <w:u w:val="single"/>
        </w:rPr>
      </w:pPr>
      <w:r>
        <w:rPr>
          <w:b/>
          <w:bCs/>
          <w:u w:val="single"/>
        </w:rPr>
        <w:t xml:space="preserve">Application and Evaluation </w:t>
      </w:r>
      <w:r w:rsidR="008063F1" w:rsidRPr="006B5328">
        <w:rPr>
          <w:b/>
          <w:bCs/>
          <w:u w:val="single"/>
        </w:rPr>
        <w:t>Process</w:t>
      </w:r>
    </w:p>
    <w:p w14:paraId="39900D96" w14:textId="0D66FFEA" w:rsidR="0066091A" w:rsidRDefault="00CD5BEC" w:rsidP="005F4FA8">
      <w:pPr>
        <w:pStyle w:val="ListParagraph"/>
        <w:numPr>
          <w:ilvl w:val="0"/>
          <w:numId w:val="20"/>
        </w:numPr>
        <w:spacing w:line="276" w:lineRule="auto"/>
      </w:pPr>
      <w:r>
        <w:t>Applicants s</w:t>
      </w:r>
      <w:r w:rsidR="00650036">
        <w:t>ubmit a</w:t>
      </w:r>
      <w:r w:rsidR="00DA23AA">
        <w:t xml:space="preserve"> written </w:t>
      </w:r>
      <w:r w:rsidR="00926A84">
        <w:t xml:space="preserve">CKTV proposal </w:t>
      </w:r>
      <w:r>
        <w:t xml:space="preserve">on the </w:t>
      </w:r>
      <w:r w:rsidR="00C3569E">
        <w:t>CADDA application template</w:t>
      </w:r>
      <w:r w:rsidR="00650036">
        <w:t xml:space="preserve"> </w:t>
      </w:r>
      <w:r w:rsidR="00C3569E">
        <w:t>by email to the CADDA inbox</w:t>
      </w:r>
      <w:r w:rsidR="00191C5E">
        <w:t>:</w:t>
      </w:r>
      <w:r w:rsidR="00C3569E" w:rsidRPr="00A6690C">
        <w:t xml:space="preserve"> </w:t>
      </w:r>
      <w:hyperlink r:id="rId11" w:history="1">
        <w:r w:rsidR="00C3569E" w:rsidRPr="0026662E">
          <w:rPr>
            <w:rStyle w:val="Hyperlink"/>
          </w:rPr>
          <w:t>cadda@kent.ac.uk</w:t>
        </w:r>
      </w:hyperlink>
      <w:r w:rsidR="00C3569E">
        <w:t xml:space="preserve"> </w:t>
      </w:r>
      <w:r>
        <w:t>by 5pm on 30</w:t>
      </w:r>
      <w:r w:rsidRPr="005F4FA8">
        <w:rPr>
          <w:vertAlign w:val="superscript"/>
        </w:rPr>
        <w:t>th</w:t>
      </w:r>
      <w:r>
        <w:t xml:space="preserve"> April 2026.</w:t>
      </w:r>
    </w:p>
    <w:p w14:paraId="127F5D74" w14:textId="650C5015" w:rsidR="008D53A3" w:rsidRDefault="008D53A3" w:rsidP="00CD5BEC">
      <w:pPr>
        <w:pStyle w:val="ListParagraph"/>
        <w:numPr>
          <w:ilvl w:val="0"/>
          <w:numId w:val="20"/>
        </w:numPr>
      </w:pPr>
      <w:r>
        <w:t xml:space="preserve">Initial screening </w:t>
      </w:r>
      <w:r w:rsidR="00CD5BEC">
        <w:t>is</w:t>
      </w:r>
      <w:r>
        <w:t xml:space="preserve"> performed by the CADDA Management team. Applications that do not comply with guidelines for format, do not meet the eligibility criteria or are late will </w:t>
      </w:r>
      <w:r w:rsidR="001D245A">
        <w:t>be rejected</w:t>
      </w:r>
      <w:r>
        <w:t>. In the case of failure to meet eligibility criteria or format, applicants will be given brief feedback.</w:t>
      </w:r>
      <w:r w:rsidR="00CD5BEC" w:rsidRPr="00CD5BEC">
        <w:t xml:space="preserve"> </w:t>
      </w:r>
    </w:p>
    <w:p w14:paraId="3A17213A" w14:textId="77777777" w:rsidR="006B2A3F" w:rsidRDefault="008D53A3" w:rsidP="006B2A3F">
      <w:pPr>
        <w:pStyle w:val="ListParagraph"/>
        <w:numPr>
          <w:ilvl w:val="0"/>
          <w:numId w:val="20"/>
        </w:numPr>
      </w:pPr>
      <w:r w:rsidRPr="00E23800">
        <w:t xml:space="preserve">Application review will be undertaken by </w:t>
      </w:r>
      <w:r w:rsidR="00CD5BEC">
        <w:t xml:space="preserve">the grant review panel. </w:t>
      </w:r>
      <w:r w:rsidRPr="00E23800">
        <w:t xml:space="preserve">A minimum of two reviewers per application will </w:t>
      </w:r>
      <w:r>
        <w:t xml:space="preserve">review each </w:t>
      </w:r>
      <w:r w:rsidR="005F29C5">
        <w:t>proposal</w:t>
      </w:r>
      <w:r>
        <w:t>.</w:t>
      </w:r>
      <w:r w:rsidR="006B2A3F">
        <w:t xml:space="preserve"> </w:t>
      </w:r>
    </w:p>
    <w:p w14:paraId="7F9CBE7E" w14:textId="3DD15CB4" w:rsidR="006B2A3F" w:rsidRDefault="004D672D" w:rsidP="006B2A3F">
      <w:pPr>
        <w:pStyle w:val="ListParagraph"/>
        <w:numPr>
          <w:ilvl w:val="0"/>
          <w:numId w:val="20"/>
        </w:numPr>
      </w:pPr>
      <w:r>
        <w:t xml:space="preserve">Applicants </w:t>
      </w:r>
      <w:r w:rsidR="00841F9B">
        <w:t xml:space="preserve">are </w:t>
      </w:r>
      <w:r>
        <w:t xml:space="preserve">required to attend a </w:t>
      </w:r>
      <w:r w:rsidR="006B2A3F">
        <w:t>10-minute</w:t>
      </w:r>
      <w:r>
        <w:t xml:space="preserve"> online presentation and Q&amp;A session with the grants panel the week beginning 1</w:t>
      </w:r>
      <w:r w:rsidRPr="006B2A3F">
        <w:rPr>
          <w:vertAlign w:val="superscript"/>
        </w:rPr>
        <w:t>st</w:t>
      </w:r>
      <w:r>
        <w:t xml:space="preserve"> June 2026. </w:t>
      </w:r>
      <w:r w:rsidR="00DC3BC2" w:rsidRPr="006B2A3F">
        <w:rPr>
          <w:b/>
          <w:bCs/>
        </w:rPr>
        <w:t xml:space="preserve">Both </w:t>
      </w:r>
      <w:r w:rsidRPr="006B2A3F">
        <w:rPr>
          <w:b/>
          <w:bCs/>
        </w:rPr>
        <w:t xml:space="preserve">an </w:t>
      </w:r>
      <w:r w:rsidR="00DC3BC2" w:rsidRPr="006B2A3F">
        <w:rPr>
          <w:b/>
          <w:bCs/>
        </w:rPr>
        <w:t>industry and academic partner</w:t>
      </w:r>
      <w:r w:rsidRPr="006B2A3F">
        <w:rPr>
          <w:b/>
          <w:bCs/>
        </w:rPr>
        <w:t xml:space="preserve"> representative</w:t>
      </w:r>
      <w:r w:rsidR="00DC3BC2" w:rsidRPr="006B2A3F">
        <w:rPr>
          <w:b/>
          <w:bCs/>
        </w:rPr>
        <w:t xml:space="preserve"> should attend</w:t>
      </w:r>
      <w:r w:rsidR="00DC3BC2">
        <w:t xml:space="preserve">. </w:t>
      </w:r>
      <w:r w:rsidR="00841F9B">
        <w:t>Guidance on the requirements for the presentation will be provided in the week after the closing date for applications.</w:t>
      </w:r>
      <w:r w:rsidR="006B2A3F">
        <w:t xml:space="preserve"> </w:t>
      </w:r>
    </w:p>
    <w:p w14:paraId="46AC53FF" w14:textId="6C094084" w:rsidR="004D672D" w:rsidRDefault="006B2A3F" w:rsidP="006B2A3F">
      <w:pPr>
        <w:pStyle w:val="ListParagraph"/>
        <w:numPr>
          <w:ilvl w:val="0"/>
          <w:numId w:val="20"/>
        </w:numPr>
      </w:pPr>
      <w:r>
        <w:t>A</w:t>
      </w:r>
      <w:r w:rsidR="004D672D">
        <w:t>pplications will be scored based upon the written proposal and interview. The scoring will be primarily based upon the following criteria</w:t>
      </w:r>
    </w:p>
    <w:p w14:paraId="17125778" w14:textId="77777777" w:rsidR="004D672D" w:rsidRDefault="004D672D" w:rsidP="005F4FA8">
      <w:pPr>
        <w:pStyle w:val="ListParagraph"/>
      </w:pPr>
    </w:p>
    <w:p w14:paraId="3C92BFCD" w14:textId="4374720C" w:rsidR="008D53A3" w:rsidRDefault="001D245A" w:rsidP="006B5328">
      <w:pPr>
        <w:pStyle w:val="ListParagraph"/>
        <w:numPr>
          <w:ilvl w:val="1"/>
          <w:numId w:val="20"/>
        </w:numPr>
      </w:pPr>
      <w:r>
        <w:t>Q</w:t>
      </w:r>
      <w:r w:rsidR="008D53A3" w:rsidRPr="00C46D46">
        <w:t xml:space="preserve">uality of proposed objectives </w:t>
      </w:r>
      <w:r>
        <w:t xml:space="preserve">(see </w:t>
      </w:r>
      <w:r w:rsidR="00650036">
        <w:t xml:space="preserve">Appendix </w:t>
      </w:r>
      <w:r w:rsidR="005710A5">
        <w:t>A</w:t>
      </w:r>
      <w:r w:rsidR="00650036">
        <w:t xml:space="preserve">) </w:t>
      </w:r>
      <w:r w:rsidR="008D53A3" w:rsidRPr="00C46D46">
        <w:t>and how aligned</w:t>
      </w:r>
      <w:r w:rsidR="008D53A3">
        <w:t xml:space="preserve"> the proposal is</w:t>
      </w:r>
      <w:r w:rsidR="008D53A3" w:rsidRPr="00C46D46">
        <w:t xml:space="preserve"> with need</w:t>
      </w:r>
    </w:p>
    <w:p w14:paraId="1D2DAAC0" w14:textId="465FCC33" w:rsidR="004D672D" w:rsidRDefault="004D672D" w:rsidP="006B5328">
      <w:pPr>
        <w:pStyle w:val="ListParagraph"/>
        <w:numPr>
          <w:ilvl w:val="1"/>
          <w:numId w:val="20"/>
        </w:numPr>
      </w:pPr>
      <w:r>
        <w:t>Demonstration of co-creation of project between academic and industrial partners with the outcomes for each clearly articulated</w:t>
      </w:r>
    </w:p>
    <w:p w14:paraId="64D4F8AE" w14:textId="5A997499" w:rsidR="008D53A3" w:rsidRDefault="008D53A3" w:rsidP="006B5328">
      <w:pPr>
        <w:pStyle w:val="ListParagraph"/>
        <w:numPr>
          <w:ilvl w:val="1"/>
          <w:numId w:val="20"/>
        </w:numPr>
      </w:pPr>
      <w:r w:rsidRPr="00C46D46">
        <w:t xml:space="preserve">Potential impact of proposed project in terms of moving </w:t>
      </w:r>
      <w:r w:rsidR="004D672D">
        <w:t xml:space="preserve">proposed </w:t>
      </w:r>
      <w:r w:rsidRPr="00C46D46">
        <w:t xml:space="preserve">diagnostic along TRL pipeline </w:t>
      </w:r>
    </w:p>
    <w:p w14:paraId="595529EA" w14:textId="48A9BB09" w:rsidR="008D53A3" w:rsidRDefault="008D53A3" w:rsidP="006B5328">
      <w:pPr>
        <w:pStyle w:val="ListParagraph"/>
        <w:numPr>
          <w:ilvl w:val="1"/>
          <w:numId w:val="20"/>
        </w:numPr>
      </w:pPr>
      <w:r w:rsidRPr="00C46D46">
        <w:lastRenderedPageBreak/>
        <w:t xml:space="preserve">Next steps and longer-term vision for delivery </w:t>
      </w:r>
    </w:p>
    <w:p w14:paraId="3335D5C4" w14:textId="1E75C7DB" w:rsidR="008D53A3" w:rsidRDefault="008D53A3" w:rsidP="006B5328">
      <w:pPr>
        <w:pStyle w:val="ListParagraph"/>
        <w:numPr>
          <w:ilvl w:val="0"/>
          <w:numId w:val="20"/>
        </w:numPr>
      </w:pPr>
      <w:r>
        <w:t>Additional screening c</w:t>
      </w:r>
      <w:r w:rsidRPr="00C46D46">
        <w:t xml:space="preserve">riteria </w:t>
      </w:r>
      <w:r w:rsidR="004D672D">
        <w:t>that must be meet</w:t>
      </w:r>
    </w:p>
    <w:p w14:paraId="43E8CE44" w14:textId="2579A011" w:rsidR="00191C5E" w:rsidRDefault="00191C5E" w:rsidP="00660AD8">
      <w:pPr>
        <w:pStyle w:val="ListParagraph"/>
        <w:numPr>
          <w:ilvl w:val="0"/>
          <w:numId w:val="23"/>
        </w:numPr>
      </w:pPr>
      <w:r>
        <w:t xml:space="preserve">Relevance </w:t>
      </w:r>
      <w:r w:rsidR="008D53A3" w:rsidRPr="00C46D46">
        <w:t xml:space="preserve">to CADDA objectives </w:t>
      </w:r>
    </w:p>
    <w:p w14:paraId="7787AA57" w14:textId="7E3EEB7E" w:rsidR="00191C5E" w:rsidRDefault="00191C5E" w:rsidP="00660AD8">
      <w:pPr>
        <w:pStyle w:val="ListParagraph"/>
        <w:numPr>
          <w:ilvl w:val="0"/>
          <w:numId w:val="23"/>
        </w:numPr>
      </w:pPr>
      <w:r>
        <w:t>Offers v</w:t>
      </w:r>
      <w:r w:rsidR="008D53A3" w:rsidRPr="00C46D46">
        <w:t>alue for money/costs justified</w:t>
      </w:r>
    </w:p>
    <w:p w14:paraId="044BFD0C" w14:textId="515490A5" w:rsidR="00C325AA" w:rsidRDefault="00400140" w:rsidP="00C325AA">
      <w:pPr>
        <w:pStyle w:val="ListParagraph"/>
        <w:numPr>
          <w:ilvl w:val="0"/>
          <w:numId w:val="23"/>
        </w:numPr>
      </w:pPr>
      <w:r>
        <w:t>S</w:t>
      </w:r>
      <w:r w:rsidR="008D53A3" w:rsidRPr="00C46D46">
        <w:t>uitab</w:t>
      </w:r>
      <w:r w:rsidR="00191C5E">
        <w:t>le</w:t>
      </w:r>
      <w:r w:rsidR="008D53A3" w:rsidRPr="00C46D46">
        <w:t xml:space="preserve"> team to deliver project</w:t>
      </w:r>
    </w:p>
    <w:p w14:paraId="237F8446" w14:textId="652B4064" w:rsidR="004D672D" w:rsidRDefault="00841F9B" w:rsidP="00C74C23">
      <w:r>
        <w:t>Funded proposals will be determine</w:t>
      </w:r>
      <w:r w:rsidR="00EC0C64">
        <w:t>d</w:t>
      </w:r>
      <w:r>
        <w:t xml:space="preserve"> from the rank scored list against the funds available.</w:t>
      </w:r>
    </w:p>
    <w:p w14:paraId="2B4CEC1D" w14:textId="653C8515" w:rsidR="008D53A3" w:rsidRDefault="008D53A3" w:rsidP="00394529">
      <w:r>
        <w:t xml:space="preserve">Feedback will be captured from the panel review for all applicants. </w:t>
      </w:r>
      <w:r w:rsidR="0052543A">
        <w:t>Applicants will be notified of the outcome of their application in June 2026.</w:t>
      </w:r>
    </w:p>
    <w:p w14:paraId="519A295B" w14:textId="7C79C4CA" w:rsidR="009E11DE" w:rsidRDefault="009E11DE" w:rsidP="008C5F45">
      <w:r>
        <w:t xml:space="preserve">Successful applicants will be required to sign a template agreement with the University of Kent, for the use, management and release of the funds and a second collaborative agreement between the partners involved in the work that will outline how the partnership will work and how issues such as confidentiality, IP etc have been agreed. </w:t>
      </w:r>
      <w:r w:rsidRPr="006677E8">
        <w:t>No funds will be released, until the second project-specific agreement is in place.</w:t>
      </w:r>
      <w:r>
        <w:t xml:space="preserve"> </w:t>
      </w:r>
    </w:p>
    <w:p w14:paraId="631B20E4" w14:textId="7B8D236E" w:rsidR="008C5F45" w:rsidRDefault="008409FA" w:rsidP="008C5F45">
      <w:r>
        <w:t xml:space="preserve">See the </w:t>
      </w:r>
      <w:hyperlink r:id="rId12">
        <w:r w:rsidRPr="7746058A">
          <w:rPr>
            <w:rStyle w:val="Hyperlink"/>
          </w:rPr>
          <w:t>CKTV application form template</w:t>
        </w:r>
      </w:hyperlink>
      <w:r>
        <w:t xml:space="preserve"> for detailed application guidance.</w:t>
      </w:r>
    </w:p>
    <w:p w14:paraId="6CC9B83C" w14:textId="03289A22" w:rsidR="00DA23AA" w:rsidRPr="00660AD8" w:rsidRDefault="00191905" w:rsidP="008027FC">
      <w:pPr>
        <w:rPr>
          <w:b/>
          <w:bCs/>
          <w:u w:val="single"/>
        </w:rPr>
      </w:pPr>
      <w:r>
        <w:rPr>
          <w:b/>
          <w:bCs/>
          <w:u w:val="single"/>
        </w:rPr>
        <w:t>Additional</w:t>
      </w:r>
      <w:r w:rsidR="0052543A" w:rsidRPr="00660AD8">
        <w:rPr>
          <w:b/>
          <w:bCs/>
          <w:u w:val="single"/>
        </w:rPr>
        <w:t xml:space="preserve"> </w:t>
      </w:r>
      <w:r w:rsidR="0066365C">
        <w:rPr>
          <w:b/>
          <w:bCs/>
          <w:u w:val="single"/>
        </w:rPr>
        <w:t>re</w:t>
      </w:r>
      <w:r w:rsidR="0011020C">
        <w:rPr>
          <w:b/>
          <w:bCs/>
          <w:u w:val="single"/>
        </w:rPr>
        <w:t>quirements</w:t>
      </w:r>
    </w:p>
    <w:p w14:paraId="3ABF65C6" w14:textId="77777777" w:rsidR="00735F95" w:rsidRPr="00660AD8" w:rsidRDefault="0011020C" w:rsidP="0011020C">
      <w:pPr>
        <w:pStyle w:val="ListParagraph"/>
        <w:numPr>
          <w:ilvl w:val="0"/>
          <w:numId w:val="25"/>
        </w:numPr>
      </w:pPr>
      <w:r>
        <w:t xml:space="preserve">Applications </w:t>
      </w:r>
      <w:r w:rsidRPr="0011020C">
        <w:rPr>
          <w:b/>
          <w:bCs/>
        </w:rPr>
        <w:t>MUST</w:t>
      </w:r>
      <w:r>
        <w:t xml:space="preserve"> include match funding from non-academic partners. This may be </w:t>
      </w:r>
      <w:r w:rsidRPr="0011020C">
        <w:rPr>
          <w:b/>
          <w:bCs/>
        </w:rPr>
        <w:t>in-kind or cash</w:t>
      </w:r>
      <w:r>
        <w:t xml:space="preserve"> (or a combination of both) and must be auditable. For SME (for definition of SME see </w:t>
      </w:r>
      <w:hyperlink r:id="rId13" w:history="1">
        <w:r w:rsidRPr="009C164C">
          <w:rPr>
            <w:rStyle w:val="Hyperlink"/>
          </w:rPr>
          <w:t>https://www.gov.uk/government/publications/fcdo-small-to-medium-sized-enterprise-sme-action-plan/small-to-medium-sized-enterprise-sme-action-plan</w:t>
        </w:r>
      </w:hyperlink>
      <w:r>
        <w:t xml:space="preserve">) involvement this should constitute a minimum of 25% of the </w:t>
      </w:r>
      <w:r w:rsidRPr="0011020C">
        <w:rPr>
          <w:b/>
          <w:bCs/>
          <w:u w:val="single"/>
        </w:rPr>
        <w:t>total cost of the project</w:t>
      </w:r>
      <w:r>
        <w:t xml:space="preserve"> </w:t>
      </w:r>
      <w:r w:rsidRPr="0011020C">
        <w:rPr>
          <w:b/>
          <w:bCs/>
        </w:rPr>
        <w:t>(e.g. if £50,000 is requested from CADDA a minimum contribution of £16,666 needs to be made by the SME(s) from a total project cost of £66,666+)</w:t>
      </w:r>
      <w:r>
        <w:t xml:space="preserve"> whilst for larger companies this should constitute a minimum of 50% of the total project costs (e.g. if £50,000 is requested from CADDA a minimum contribution of £50,000 needs to be made from a total project cost of £100,000+).</w:t>
      </w:r>
      <w:r w:rsidR="00735F95" w:rsidRPr="00735F95">
        <w:rPr>
          <w:b/>
          <w:bCs/>
        </w:rPr>
        <w:t xml:space="preserve"> </w:t>
      </w:r>
    </w:p>
    <w:p w14:paraId="39E74DCE" w14:textId="31D38143" w:rsidR="0011020C" w:rsidRDefault="003800DC" w:rsidP="003800DC">
      <w:pPr>
        <w:pStyle w:val="ListParagraph"/>
        <w:numPr>
          <w:ilvl w:val="0"/>
          <w:numId w:val="25"/>
        </w:numPr>
      </w:pPr>
      <w:r w:rsidRPr="00660AD8">
        <w:rPr>
          <w:b/>
          <w:bCs/>
        </w:rPr>
        <w:t xml:space="preserve">Applications MUST NOT include </w:t>
      </w:r>
      <w:proofErr w:type="spellStart"/>
      <w:r w:rsidRPr="002F58CC">
        <w:rPr>
          <w:b/>
          <w:bCs/>
        </w:rPr>
        <w:t>I</w:t>
      </w:r>
      <w:r w:rsidR="00735F95" w:rsidRPr="002F58CC">
        <w:rPr>
          <w:b/>
          <w:bCs/>
        </w:rPr>
        <w:t>ndirects</w:t>
      </w:r>
      <w:proofErr w:type="spellEnd"/>
      <w:r w:rsidR="00735F95" w:rsidRPr="003800DC">
        <w:rPr>
          <w:b/>
          <w:bCs/>
        </w:rPr>
        <w:t xml:space="preserve">/overheads </w:t>
      </w:r>
      <w:r w:rsidR="002F58CC">
        <w:rPr>
          <w:b/>
          <w:bCs/>
        </w:rPr>
        <w:t xml:space="preserve">in the funds requested from CADDA. </w:t>
      </w:r>
      <w:r w:rsidR="00CC1349" w:rsidRPr="00CC26FC">
        <w:rPr>
          <w:b/>
          <w:bCs/>
        </w:rPr>
        <w:t xml:space="preserve">CADDA will only fund directly incurred costs </w:t>
      </w:r>
      <w:r w:rsidR="007D6B4A" w:rsidRPr="00660AD8">
        <w:rPr>
          <w:b/>
          <w:bCs/>
        </w:rPr>
        <w:t xml:space="preserve">(e.g. staff, consumables) </w:t>
      </w:r>
      <w:r w:rsidR="00CC1349" w:rsidRPr="00CC26FC">
        <w:rPr>
          <w:b/>
          <w:bCs/>
        </w:rPr>
        <w:t>and will not fund indirect/overhead costs, estates costs or PI/investigator costs</w:t>
      </w:r>
      <w:r w:rsidR="00CC1349">
        <w:t>.</w:t>
      </w:r>
    </w:p>
    <w:p w14:paraId="3C12CDF0" w14:textId="4D849A67" w:rsidR="00CF76CF" w:rsidRDefault="00AB3C61" w:rsidP="009D57D3">
      <w:pPr>
        <w:pStyle w:val="ListParagraph"/>
        <w:numPr>
          <w:ilvl w:val="0"/>
          <w:numId w:val="25"/>
        </w:numPr>
      </w:pPr>
      <w:r>
        <w:t xml:space="preserve">Applications </w:t>
      </w:r>
      <w:r w:rsidR="00660A5F">
        <w:t>should</w:t>
      </w:r>
      <w:r w:rsidR="00CF76CF">
        <w:t xml:space="preserve"> not </w:t>
      </w:r>
      <w:r w:rsidR="00760E07">
        <w:t>include funding for academic time commitment</w:t>
      </w:r>
      <w:r w:rsidR="00982F41">
        <w:t>, personal remuneration, PhD/MSc student stipends or fees and equipment purchase or maintenance (including computers)</w:t>
      </w:r>
      <w:r w:rsidR="00760E07">
        <w:t xml:space="preserve">. Eligible costs </w:t>
      </w:r>
      <w:r w:rsidR="00187FAF">
        <w:t>include:</w:t>
      </w:r>
    </w:p>
    <w:p w14:paraId="17619E10" w14:textId="399C3BFB" w:rsidR="00187FAF" w:rsidRDefault="009D57D3" w:rsidP="00187FAF">
      <w:pPr>
        <w:pStyle w:val="ListParagraph"/>
        <w:numPr>
          <w:ilvl w:val="1"/>
          <w:numId w:val="25"/>
        </w:numPr>
      </w:pPr>
      <w:r>
        <w:t>support of staff appointments working directly on the project (</w:t>
      </w:r>
      <w:r w:rsidR="00982F41">
        <w:t xml:space="preserve">e.g. </w:t>
      </w:r>
      <w:r>
        <w:t>PDRA, Technician, staff secondment)</w:t>
      </w:r>
    </w:p>
    <w:p w14:paraId="76BA49A5" w14:textId="77777777" w:rsidR="00187FAF" w:rsidRDefault="009D57D3" w:rsidP="00187FAF">
      <w:pPr>
        <w:pStyle w:val="ListParagraph"/>
        <w:numPr>
          <w:ilvl w:val="1"/>
          <w:numId w:val="25"/>
        </w:numPr>
      </w:pPr>
      <w:r>
        <w:t>travel and subsistence costs in line with UKRI policy</w:t>
      </w:r>
    </w:p>
    <w:p w14:paraId="71D61224" w14:textId="5854CF13" w:rsidR="00187FAF" w:rsidRDefault="009D57D3" w:rsidP="00187FAF">
      <w:pPr>
        <w:pStyle w:val="ListParagraph"/>
        <w:numPr>
          <w:ilvl w:val="1"/>
          <w:numId w:val="25"/>
        </w:numPr>
      </w:pPr>
      <w:r>
        <w:lastRenderedPageBreak/>
        <w:t>core facilities</w:t>
      </w:r>
      <w:r w:rsidR="00187FAF">
        <w:t>/</w:t>
      </w:r>
      <w:r>
        <w:t xml:space="preserve"> equipment</w:t>
      </w:r>
    </w:p>
    <w:p w14:paraId="10904B60" w14:textId="3CBCCE30" w:rsidR="009D57D3" w:rsidRDefault="009D57D3" w:rsidP="00660AD8">
      <w:pPr>
        <w:pStyle w:val="ListParagraph"/>
        <w:numPr>
          <w:ilvl w:val="1"/>
          <w:numId w:val="25"/>
        </w:numPr>
      </w:pPr>
      <w:r>
        <w:t>consumables</w:t>
      </w:r>
    </w:p>
    <w:p w14:paraId="2924DDF6" w14:textId="65481F7B" w:rsidR="009D57D3" w:rsidRDefault="009D57D3" w:rsidP="009D57D3">
      <w:pPr>
        <w:pStyle w:val="ListParagraph"/>
        <w:numPr>
          <w:ilvl w:val="0"/>
          <w:numId w:val="25"/>
        </w:numPr>
      </w:pPr>
      <w:r>
        <w:t>The application must provide a Justification of Resources for all requested support</w:t>
      </w:r>
      <w:r w:rsidR="00660A5F">
        <w:t xml:space="preserve"> (see </w:t>
      </w:r>
      <w:r w:rsidR="005710A5">
        <w:t>guidelines provided in application template)</w:t>
      </w:r>
      <w:r>
        <w:t>.</w:t>
      </w:r>
      <w:r>
        <w:tab/>
      </w:r>
    </w:p>
    <w:p w14:paraId="663DA58D" w14:textId="3133D59F" w:rsidR="00546B81" w:rsidRPr="000959C5" w:rsidRDefault="00546B81" w:rsidP="00546B81">
      <w:pPr>
        <w:pStyle w:val="ListParagraph"/>
        <w:numPr>
          <w:ilvl w:val="0"/>
          <w:numId w:val="9"/>
        </w:numPr>
        <w:rPr>
          <w:b/>
          <w:bCs/>
          <w:u w:val="single"/>
        </w:rPr>
      </w:pPr>
      <w:r>
        <w:t>P</w:t>
      </w:r>
      <w:r w:rsidR="008027FC">
        <w:t xml:space="preserve">rojects </w:t>
      </w:r>
      <w:r>
        <w:t>may have</w:t>
      </w:r>
      <w:r w:rsidR="008027FC">
        <w:t xml:space="preserve"> up to 12 months duration maximum, and an award value of </w:t>
      </w:r>
      <w:r w:rsidR="008027FC" w:rsidRPr="0066365C">
        <w:rPr>
          <w:b/>
          <w:bCs/>
        </w:rPr>
        <w:t>up to £50,000</w:t>
      </w:r>
      <w:r w:rsidR="00EB309A" w:rsidRPr="0066365C">
        <w:rPr>
          <w:b/>
          <w:bCs/>
        </w:rPr>
        <w:t>.</w:t>
      </w:r>
      <w:r w:rsidRPr="00546B81">
        <w:t xml:space="preserve"> </w:t>
      </w:r>
    </w:p>
    <w:p w14:paraId="4F22A0DF" w14:textId="1AECABD2" w:rsidR="00546B81" w:rsidRPr="00CC26FC" w:rsidRDefault="00546B81" w:rsidP="00546B81">
      <w:pPr>
        <w:pStyle w:val="ListParagraph"/>
        <w:numPr>
          <w:ilvl w:val="0"/>
          <w:numId w:val="9"/>
        </w:numPr>
        <w:rPr>
          <w:b/>
          <w:bCs/>
          <w:u w:val="single"/>
        </w:rPr>
      </w:pPr>
      <w:r>
        <w:t xml:space="preserve">The work must be relevant to the objectives and deliverables of CADDA (see Appendix </w:t>
      </w:r>
      <w:r w:rsidR="005710A5">
        <w:t>A</w:t>
      </w:r>
      <w:r>
        <w:t xml:space="preserve">), </w:t>
      </w:r>
      <w:r w:rsidR="00C53BBF">
        <w:t xml:space="preserve">and </w:t>
      </w:r>
      <w:r>
        <w:t>the human or animal diagnostic need and timeliness must be articulated.</w:t>
      </w:r>
    </w:p>
    <w:p w14:paraId="418EC5EA" w14:textId="77777777" w:rsidR="00191905" w:rsidRDefault="00191905" w:rsidP="00AD7D99">
      <w:pPr>
        <w:pStyle w:val="ListParagraph"/>
        <w:rPr>
          <w:b/>
          <w:bCs/>
          <w:u w:val="single"/>
        </w:rPr>
      </w:pPr>
    </w:p>
    <w:p w14:paraId="7523372C" w14:textId="77777777" w:rsidR="00AC0D79" w:rsidRDefault="00836CEB" w:rsidP="00955F3A">
      <w:pPr>
        <w:rPr>
          <w:b/>
          <w:bCs/>
          <w:u w:val="single"/>
        </w:rPr>
      </w:pPr>
      <w:r>
        <w:rPr>
          <w:b/>
          <w:bCs/>
          <w:u w:val="single"/>
        </w:rPr>
        <w:t xml:space="preserve">Guidance for </w:t>
      </w:r>
      <w:r w:rsidR="00DF2C6B">
        <w:rPr>
          <w:b/>
          <w:bCs/>
          <w:u w:val="single"/>
        </w:rPr>
        <w:t>S</w:t>
      </w:r>
      <w:r>
        <w:rPr>
          <w:b/>
          <w:bCs/>
          <w:u w:val="single"/>
        </w:rPr>
        <w:t>uccessful Applicants</w:t>
      </w:r>
    </w:p>
    <w:p w14:paraId="5F119188" w14:textId="32BC194C" w:rsidR="000A5220" w:rsidRPr="00CC26FC" w:rsidRDefault="000A5220" w:rsidP="00955F3A">
      <w:pPr>
        <w:rPr>
          <w:b/>
          <w:bCs/>
          <w:u w:val="single"/>
        </w:rPr>
      </w:pPr>
      <w:r w:rsidRPr="00CC26FC">
        <w:rPr>
          <w:b/>
          <w:bCs/>
          <w:u w:val="single"/>
        </w:rPr>
        <w:t>Payment of Awards</w:t>
      </w:r>
      <w:r w:rsidR="008E6D8F">
        <w:rPr>
          <w:b/>
          <w:bCs/>
          <w:u w:val="single"/>
        </w:rPr>
        <w:t xml:space="preserve"> </w:t>
      </w:r>
    </w:p>
    <w:p w14:paraId="73C8B129" w14:textId="77777777" w:rsidR="00D85DA2" w:rsidRDefault="00933DF6" w:rsidP="00D85DA2">
      <w:pPr>
        <w:pStyle w:val="ListParagraph"/>
        <w:numPr>
          <w:ilvl w:val="0"/>
          <w:numId w:val="26"/>
        </w:numPr>
      </w:pPr>
      <w:r>
        <w:t>A</w:t>
      </w:r>
      <w:r w:rsidR="000A5220">
        <w:t xml:space="preserve">wards will be paid to the lead University institution 3 months in arrears. </w:t>
      </w:r>
    </w:p>
    <w:p w14:paraId="5C81EAE1" w14:textId="77777777" w:rsidR="00955F3A" w:rsidRDefault="00D85DA2" w:rsidP="00D85DA2">
      <w:pPr>
        <w:pStyle w:val="ListParagraph"/>
        <w:numPr>
          <w:ilvl w:val="0"/>
          <w:numId w:val="26"/>
        </w:numPr>
      </w:pPr>
      <w:r>
        <w:t>F</w:t>
      </w:r>
      <w:r w:rsidR="000A5220">
        <w:t xml:space="preserve">unds </w:t>
      </w:r>
      <w:r>
        <w:t xml:space="preserve">will be transferred </w:t>
      </w:r>
      <w:r w:rsidR="000A5220">
        <w:t xml:space="preserve">to the awarded institution for </w:t>
      </w:r>
      <w:r>
        <w:t xml:space="preserve">them to </w:t>
      </w:r>
      <w:r w:rsidR="000A5220">
        <w:t>disbur</w:t>
      </w:r>
      <w:r>
        <w:t>se</w:t>
      </w:r>
      <w:r w:rsidR="00955F3A">
        <w:t xml:space="preserve">. </w:t>
      </w:r>
      <w:r w:rsidR="000A5220">
        <w:t xml:space="preserve"> </w:t>
      </w:r>
      <w:r w:rsidR="00955F3A">
        <w:t xml:space="preserve">Awarded institutions will also </w:t>
      </w:r>
      <w:r w:rsidR="000A5220">
        <w:t>monitor</w:t>
      </w:r>
      <w:r w:rsidR="00955F3A">
        <w:t xml:space="preserve"> and report on</w:t>
      </w:r>
      <w:r w:rsidR="000A5220">
        <w:t xml:space="preserve"> the spend. </w:t>
      </w:r>
    </w:p>
    <w:p w14:paraId="0AC5D779" w14:textId="77777777" w:rsidR="00955F3A" w:rsidRDefault="000A5220" w:rsidP="00D85DA2">
      <w:pPr>
        <w:pStyle w:val="ListParagraph"/>
        <w:numPr>
          <w:ilvl w:val="0"/>
          <w:numId w:val="26"/>
        </w:numPr>
      </w:pPr>
      <w:r>
        <w:t>Awards must start within 3 months of the proposed start date on the application.</w:t>
      </w:r>
    </w:p>
    <w:p w14:paraId="54DE69A2" w14:textId="77777777" w:rsidR="008E6D8F" w:rsidRDefault="000A5220" w:rsidP="00D85DA2">
      <w:pPr>
        <w:pStyle w:val="ListParagraph"/>
        <w:numPr>
          <w:ilvl w:val="0"/>
          <w:numId w:val="26"/>
        </w:numPr>
      </w:pPr>
      <w:r>
        <w:t xml:space="preserve">Lead institutions will be expected to provide invoices alongside a breakdown of the costs being claimed for in any 3-month period. </w:t>
      </w:r>
      <w:r w:rsidRPr="00D85DA2">
        <w:rPr>
          <w:b/>
          <w:bCs/>
        </w:rPr>
        <w:t>For each project a collaboration and IP agreement must be in place before funding is released and CADDA will require evidence these are in place before releasing funds.</w:t>
      </w:r>
    </w:p>
    <w:p w14:paraId="4008EE64" w14:textId="184811D0" w:rsidR="000A5220" w:rsidRDefault="000A5220" w:rsidP="003A2EE2">
      <w:pPr>
        <w:pStyle w:val="ListParagraph"/>
        <w:numPr>
          <w:ilvl w:val="0"/>
          <w:numId w:val="26"/>
        </w:numPr>
      </w:pPr>
      <w:r>
        <w:t xml:space="preserve">At the completion of the award the lead institution must provide a full breakdown of the spend of the award. The final 10% instalment will be withheld until the final </w:t>
      </w:r>
      <w:r w:rsidR="00C74C23">
        <w:t>report,</w:t>
      </w:r>
      <w:r>
        <w:t xml:space="preserve"> and a full and detailed financial expenditure report has been submitted at the completion of the award.</w:t>
      </w:r>
    </w:p>
    <w:p w14:paraId="31AE3FF4" w14:textId="77777777" w:rsidR="000A5220" w:rsidRPr="00CC26FC" w:rsidRDefault="000A5220" w:rsidP="00AC0D79">
      <w:pPr>
        <w:rPr>
          <w:b/>
          <w:bCs/>
          <w:u w:val="single"/>
        </w:rPr>
      </w:pPr>
      <w:r w:rsidRPr="00CC26FC">
        <w:rPr>
          <w:b/>
          <w:bCs/>
          <w:u w:val="single"/>
        </w:rPr>
        <w:t>Monitoring and Reporting</w:t>
      </w:r>
    </w:p>
    <w:p w14:paraId="04D85461" w14:textId="5AB318A4" w:rsidR="000A5220" w:rsidRDefault="000A5220" w:rsidP="000A5220">
      <w:r>
        <w:t xml:space="preserve">For awards longer than 6 months in length, a </w:t>
      </w:r>
      <w:r w:rsidR="003E00C6">
        <w:t xml:space="preserve">short </w:t>
      </w:r>
      <w:r>
        <w:t xml:space="preserve">update on progress will be required every 3 months </w:t>
      </w:r>
      <w:r w:rsidR="003E00C6">
        <w:t xml:space="preserve">on a template provided to the main grant holder </w:t>
      </w:r>
      <w:r>
        <w:t xml:space="preserve">after the project has started. At the completion of the project a final written report will be required of a maximum of two pages in length that describes the objectives, milestones and outputs from the project and matches this against those from the application. The final report must include a public summary (up to 2000 characters) for use by CADDA and detail any </w:t>
      </w:r>
      <w:proofErr w:type="gramStart"/>
      <w:r>
        <w:t>future plans</w:t>
      </w:r>
      <w:proofErr w:type="gramEnd"/>
      <w:r>
        <w:t xml:space="preserve">. </w:t>
      </w:r>
    </w:p>
    <w:p w14:paraId="7A29AD74" w14:textId="77777777" w:rsidR="000A5220" w:rsidRDefault="000A5220" w:rsidP="000A5220">
      <w:r w:rsidRPr="00963519">
        <w:rPr>
          <w:b/>
          <w:bCs/>
        </w:rPr>
        <w:t>It is expected that the PI on an award will give a presentation at a CADDA meeting. CADDA will request an update on outputs 6 and/or 12 months after receiving the final report.</w:t>
      </w:r>
      <w:r>
        <w:t xml:space="preserve"> Upon completion of the award, a full and detailed financial expenditure report will be required to be sent to the University of Kent. It is anticipated that any underspend should be returned to the University of Kent and will be returned to the CKTV funding pot.</w:t>
      </w:r>
    </w:p>
    <w:p w14:paraId="2BF03F64" w14:textId="77777777" w:rsidR="000A5220" w:rsidRPr="00963519" w:rsidRDefault="000A5220" w:rsidP="000A5220">
      <w:pPr>
        <w:rPr>
          <w:b/>
          <w:bCs/>
          <w:u w:val="single"/>
        </w:rPr>
      </w:pPr>
      <w:r w:rsidRPr="00963519">
        <w:rPr>
          <w:b/>
          <w:bCs/>
          <w:u w:val="single"/>
        </w:rPr>
        <w:lastRenderedPageBreak/>
        <w:t>Confidentiality, Conflicts of Interest and Data Storage</w:t>
      </w:r>
    </w:p>
    <w:p w14:paraId="4BD642E9" w14:textId="15611DE8" w:rsidR="000A5220" w:rsidRDefault="000A5220" w:rsidP="002A2978">
      <w:r>
        <w:t>All proposals will be treated in confidence in line with standard UKRI practice. All management board members and potential reviewers will be asked to confirm that they will treat all applications with confidentiality and declare any conflicts of interest with the applicants and institutions of the applicants before they are sent full proposals in pdf format by email. In the case of a conflict of interest a reviewer</w:t>
      </w:r>
      <w:r w:rsidR="005735E4">
        <w:t>/ grant panel member</w:t>
      </w:r>
      <w:r>
        <w:t xml:space="preserve"> will be disqualified from </w:t>
      </w:r>
      <w:r w:rsidR="00575BFF">
        <w:t>assessing</w:t>
      </w:r>
      <w:r>
        <w:t xml:space="preserve"> a particular proposal where the conflict of interest arises</w:t>
      </w:r>
      <w:r w:rsidR="00575BFF">
        <w:t>.</w:t>
      </w:r>
    </w:p>
    <w:p w14:paraId="75D1CD18" w14:textId="77777777" w:rsidR="000A5220" w:rsidRDefault="000A5220" w:rsidP="000A5220">
      <w:r>
        <w:t xml:space="preserve">CADDA will make publicly available details on the PI and Institution/organisation, details of any industrial partners, the amount of the award and the length of the project alongside the title and public abstract. CADDA will use this information for research related activities, including but not limited to, transfer of CKTV funds, statistical analysis in relation to evaluation of CADDA, study of trends and policy and strategy studies. To meet UKRI obligations for public accountability and the dissemination of information, details of successful awards may also be made available on the CADDA web site and other publicly available databases, and in reports, documents and mailing lists. </w:t>
      </w:r>
    </w:p>
    <w:p w14:paraId="6B266D67" w14:textId="11053AE6" w:rsidR="00915980" w:rsidRDefault="000A5220" w:rsidP="00307E65">
      <w:pPr>
        <w:rPr>
          <w:b/>
          <w:bCs/>
          <w:u w:val="single"/>
        </w:rPr>
      </w:pPr>
      <w:r>
        <w:t>Making publicly available any additional information in the award other than that stated in the application form as being for public release will only be upon agreement of the PI of the application. All applications and data within applications, reports and confidential information will be held on a secure server at the University of Kent for 10 years.</w:t>
      </w:r>
      <w:r w:rsidRPr="00915980">
        <w:rPr>
          <w:b/>
          <w:bCs/>
          <w:u w:val="single"/>
        </w:rPr>
        <w:t xml:space="preserve"> </w:t>
      </w:r>
    </w:p>
    <w:p w14:paraId="402978E2" w14:textId="77777777" w:rsidR="006677E8" w:rsidRDefault="006677E8" w:rsidP="00307E65">
      <w:pPr>
        <w:rPr>
          <w:b/>
          <w:bCs/>
          <w:u w:val="single"/>
        </w:rPr>
      </w:pPr>
    </w:p>
    <w:p w14:paraId="7285CAAF" w14:textId="77777777" w:rsidR="006677E8" w:rsidRDefault="006677E8" w:rsidP="00307E65">
      <w:pPr>
        <w:rPr>
          <w:b/>
          <w:bCs/>
          <w:u w:val="single"/>
        </w:rPr>
      </w:pPr>
    </w:p>
    <w:p w14:paraId="2ED21849" w14:textId="77777777" w:rsidR="006677E8" w:rsidRDefault="006677E8" w:rsidP="00307E65">
      <w:pPr>
        <w:rPr>
          <w:b/>
          <w:bCs/>
          <w:u w:val="single"/>
        </w:rPr>
      </w:pPr>
    </w:p>
    <w:p w14:paraId="4205EDFB" w14:textId="77777777" w:rsidR="006677E8" w:rsidRDefault="006677E8" w:rsidP="00307E65">
      <w:pPr>
        <w:rPr>
          <w:b/>
          <w:bCs/>
          <w:u w:val="single"/>
        </w:rPr>
      </w:pPr>
    </w:p>
    <w:p w14:paraId="0422E28E" w14:textId="77777777" w:rsidR="006677E8" w:rsidRDefault="006677E8" w:rsidP="00307E65">
      <w:pPr>
        <w:rPr>
          <w:b/>
          <w:bCs/>
          <w:u w:val="single"/>
        </w:rPr>
      </w:pPr>
    </w:p>
    <w:p w14:paraId="1D8573E7" w14:textId="77777777" w:rsidR="006677E8" w:rsidRDefault="006677E8" w:rsidP="00307E65">
      <w:pPr>
        <w:rPr>
          <w:b/>
          <w:bCs/>
          <w:u w:val="single"/>
        </w:rPr>
      </w:pPr>
    </w:p>
    <w:p w14:paraId="0661B9EE" w14:textId="77777777" w:rsidR="006677E8" w:rsidRDefault="006677E8" w:rsidP="00307E65">
      <w:pPr>
        <w:rPr>
          <w:b/>
          <w:bCs/>
          <w:u w:val="single"/>
        </w:rPr>
      </w:pPr>
    </w:p>
    <w:p w14:paraId="5969CCA7" w14:textId="77777777" w:rsidR="006677E8" w:rsidRDefault="006677E8" w:rsidP="00307E65">
      <w:pPr>
        <w:rPr>
          <w:b/>
          <w:bCs/>
          <w:u w:val="single"/>
        </w:rPr>
      </w:pPr>
    </w:p>
    <w:p w14:paraId="19DE63C4" w14:textId="77777777" w:rsidR="006677E8" w:rsidRDefault="006677E8" w:rsidP="00307E65">
      <w:pPr>
        <w:rPr>
          <w:b/>
          <w:bCs/>
          <w:u w:val="single"/>
        </w:rPr>
      </w:pPr>
    </w:p>
    <w:p w14:paraId="13DF691C" w14:textId="77777777" w:rsidR="006677E8" w:rsidRDefault="006677E8" w:rsidP="00307E65">
      <w:pPr>
        <w:rPr>
          <w:b/>
          <w:bCs/>
          <w:u w:val="single"/>
        </w:rPr>
      </w:pPr>
    </w:p>
    <w:p w14:paraId="562F3D37" w14:textId="77777777" w:rsidR="006677E8" w:rsidRDefault="006677E8" w:rsidP="00307E65">
      <w:pPr>
        <w:rPr>
          <w:b/>
          <w:bCs/>
          <w:u w:val="single"/>
        </w:rPr>
      </w:pPr>
    </w:p>
    <w:p w14:paraId="21DE0446" w14:textId="77777777" w:rsidR="006677E8" w:rsidRDefault="006677E8" w:rsidP="00307E65">
      <w:pPr>
        <w:rPr>
          <w:b/>
          <w:bCs/>
          <w:u w:val="single"/>
        </w:rPr>
      </w:pPr>
    </w:p>
    <w:p w14:paraId="712E7DC5" w14:textId="4E58B077" w:rsidR="008027FC" w:rsidRPr="00FB4C57" w:rsidRDefault="0022342D" w:rsidP="008027FC">
      <w:pPr>
        <w:rPr>
          <w:b/>
          <w:bCs/>
          <w:u w:val="single"/>
        </w:rPr>
      </w:pPr>
      <w:r w:rsidRPr="00FB4C57">
        <w:rPr>
          <w:b/>
          <w:bCs/>
          <w:u w:val="single"/>
        </w:rPr>
        <w:lastRenderedPageBreak/>
        <w:t>Appendix A</w:t>
      </w:r>
    </w:p>
    <w:p w14:paraId="7A345F26" w14:textId="77777777" w:rsidR="00915980" w:rsidRPr="00343626" w:rsidRDefault="00915980" w:rsidP="00915980">
      <w:pPr>
        <w:rPr>
          <w:b/>
          <w:bCs/>
          <w:u w:val="single"/>
        </w:rPr>
      </w:pPr>
      <w:r w:rsidRPr="00343626">
        <w:rPr>
          <w:b/>
          <w:bCs/>
          <w:u w:val="single"/>
        </w:rPr>
        <w:t>CADDA Aims and Objectives (For more information see http://www.cadda.org)</w:t>
      </w:r>
    </w:p>
    <w:p w14:paraId="46331EE7" w14:textId="77777777" w:rsidR="00915980" w:rsidRPr="004E100A" w:rsidRDefault="00915980" w:rsidP="00915980">
      <w:r w:rsidRPr="004E100A">
        <w:t>CADDA, through delivery of its vision, aims to fill an unmet need for coordinated diagnostics development in England/UK, supporting transition of diagnostics technology, business development and data analysis from academic partners into SMEs and application.</w:t>
      </w:r>
    </w:p>
    <w:p w14:paraId="3235658D" w14:textId="60A4B95B" w:rsidR="00915980" w:rsidRPr="006677E8" w:rsidRDefault="0078127B" w:rsidP="00915980">
      <w:pPr>
        <w:rPr>
          <w:u w:val="single"/>
        </w:rPr>
      </w:pPr>
      <w:r w:rsidRPr="006677E8">
        <w:rPr>
          <w:u w:val="single"/>
        </w:rPr>
        <w:t>Summary objectives</w:t>
      </w:r>
      <w:r w:rsidR="00915980" w:rsidRPr="006677E8">
        <w:rPr>
          <w:u w:val="single"/>
        </w:rPr>
        <w:t>:</w:t>
      </w:r>
    </w:p>
    <w:p w14:paraId="45859FB3" w14:textId="77777777" w:rsidR="00915980" w:rsidRPr="004E100A" w:rsidRDefault="00915980" w:rsidP="00915980">
      <w:r w:rsidRPr="004E100A">
        <w:t>• Bring elements of diagnostics development and application together across disciplines</w:t>
      </w:r>
      <w:r>
        <w:t>, including through e.g. operational research, supply chain logistics</w:t>
      </w:r>
      <w:r w:rsidRPr="004E100A">
        <w:t>,</w:t>
      </w:r>
      <w:r>
        <w:t xml:space="preserve"> technology development, clinical validation etc., </w:t>
      </w:r>
      <w:r w:rsidRPr="004E100A">
        <w:t>to deliver new diagnostic tools faster with the highest commitment to quality, ethics and compliance.</w:t>
      </w:r>
    </w:p>
    <w:p w14:paraId="324C68D3" w14:textId="77777777" w:rsidR="00915980" w:rsidRPr="004E100A" w:rsidRDefault="00915980" w:rsidP="00915980">
      <w:r w:rsidRPr="004E100A">
        <w:t xml:space="preserve">• Develop a stakeholder diagnostic Community of Practice (CoP) </w:t>
      </w:r>
    </w:p>
    <w:p w14:paraId="385E357A" w14:textId="77777777" w:rsidR="00915980" w:rsidRPr="004E100A" w:rsidRDefault="00915980" w:rsidP="00915980">
      <w:r w:rsidRPr="004E100A">
        <w:t xml:space="preserve">• Deliver CADDA community-wide targeted knowledge transfer, knowhow, and best practice activities to support diagnostics development, translation of technologies and commercialisation. </w:t>
      </w:r>
    </w:p>
    <w:p w14:paraId="11366676" w14:textId="77777777" w:rsidR="00915980" w:rsidRPr="004E100A" w:rsidRDefault="00915980" w:rsidP="00915980">
      <w:r w:rsidRPr="00F8231C">
        <w:t>• Deliver innovation through co-funded competitions (CKTVs) to accelerate diagnostics innovation in SMEs and those working in the diagnostics development pathway.</w:t>
      </w:r>
      <w:r w:rsidRPr="004E100A">
        <w:t xml:space="preserve"> </w:t>
      </w:r>
    </w:p>
    <w:p w14:paraId="6F0567E0" w14:textId="77777777" w:rsidR="00915980" w:rsidRPr="004E100A" w:rsidRDefault="00915980" w:rsidP="00915980">
      <w:r w:rsidRPr="004E100A">
        <w:t xml:space="preserve">• Provide leadership and vision to the UK academic/industrial community in the field of diagnostics, supporting new collaborative models to accelerate innovation and deliver change, ensuring the UK academic research agenda is world-leading and the go-to place for collaborative research. </w:t>
      </w:r>
    </w:p>
    <w:p w14:paraId="3D6EE041" w14:textId="77777777" w:rsidR="00915980" w:rsidRPr="004E100A" w:rsidRDefault="00915980" w:rsidP="00915980">
      <w:r w:rsidRPr="004E100A">
        <w:t>• Create an environment promoting application of new technologies.</w:t>
      </w:r>
    </w:p>
    <w:p w14:paraId="713AA0EA" w14:textId="619DFC65" w:rsidR="008B60E6" w:rsidRDefault="008B60E6" w:rsidP="008027FC"/>
    <w:sectPr w:rsidR="008B60E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DD7C" w14:textId="77777777" w:rsidR="0076780B" w:rsidRDefault="0076780B" w:rsidP="002E06CC">
      <w:pPr>
        <w:spacing w:after="0" w:line="240" w:lineRule="auto"/>
      </w:pPr>
      <w:r>
        <w:separator/>
      </w:r>
    </w:p>
  </w:endnote>
  <w:endnote w:type="continuationSeparator" w:id="0">
    <w:p w14:paraId="0399724E" w14:textId="77777777" w:rsidR="0076780B" w:rsidRDefault="0076780B" w:rsidP="002E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36317"/>
      <w:docPartObj>
        <w:docPartGallery w:val="Page Numbers (Bottom of Page)"/>
        <w:docPartUnique/>
      </w:docPartObj>
    </w:sdtPr>
    <w:sdtEndPr>
      <w:rPr>
        <w:noProof/>
      </w:rPr>
    </w:sdtEndPr>
    <w:sdtContent>
      <w:p w14:paraId="4B0B42A2" w14:textId="4CABAE28" w:rsidR="002E06CC" w:rsidRDefault="002E06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0EFCD" w14:textId="77777777" w:rsidR="002E06CC" w:rsidRDefault="002E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F080" w14:textId="77777777" w:rsidR="0076780B" w:rsidRDefault="0076780B" w:rsidP="002E06CC">
      <w:pPr>
        <w:spacing w:after="0" w:line="240" w:lineRule="auto"/>
      </w:pPr>
      <w:r>
        <w:separator/>
      </w:r>
    </w:p>
  </w:footnote>
  <w:footnote w:type="continuationSeparator" w:id="0">
    <w:p w14:paraId="6B75A63B" w14:textId="77777777" w:rsidR="0076780B" w:rsidRDefault="0076780B" w:rsidP="002E0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3F78"/>
    <w:multiLevelType w:val="hybridMultilevel"/>
    <w:tmpl w:val="622C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713B0"/>
    <w:multiLevelType w:val="hybridMultilevel"/>
    <w:tmpl w:val="D7404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3D6189"/>
    <w:multiLevelType w:val="hybridMultilevel"/>
    <w:tmpl w:val="068C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B5019"/>
    <w:multiLevelType w:val="hybridMultilevel"/>
    <w:tmpl w:val="24D442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25555DA"/>
    <w:multiLevelType w:val="hybridMultilevel"/>
    <w:tmpl w:val="8B2826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A7084"/>
    <w:multiLevelType w:val="hybridMultilevel"/>
    <w:tmpl w:val="8A7E81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18A39C2"/>
    <w:multiLevelType w:val="multilevel"/>
    <w:tmpl w:val="26E6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A00CBA"/>
    <w:multiLevelType w:val="multilevel"/>
    <w:tmpl w:val="FED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EA595D"/>
    <w:multiLevelType w:val="hybridMultilevel"/>
    <w:tmpl w:val="3EFCB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2391B"/>
    <w:multiLevelType w:val="multilevel"/>
    <w:tmpl w:val="1B56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7F0162"/>
    <w:multiLevelType w:val="multilevel"/>
    <w:tmpl w:val="7F6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41CAE"/>
    <w:multiLevelType w:val="hybridMultilevel"/>
    <w:tmpl w:val="56A438D4"/>
    <w:lvl w:ilvl="0" w:tplc="C2C8E3B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06303"/>
    <w:multiLevelType w:val="hybridMultilevel"/>
    <w:tmpl w:val="7D42C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1574DA"/>
    <w:multiLevelType w:val="hybridMultilevel"/>
    <w:tmpl w:val="2BE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F0D67"/>
    <w:multiLevelType w:val="hybridMultilevel"/>
    <w:tmpl w:val="4B86CAA6"/>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577B454F"/>
    <w:multiLevelType w:val="hybridMultilevel"/>
    <w:tmpl w:val="73B2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A4016"/>
    <w:multiLevelType w:val="hybridMultilevel"/>
    <w:tmpl w:val="99B2D6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95BD9"/>
    <w:multiLevelType w:val="hybridMultilevel"/>
    <w:tmpl w:val="B6C0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00007"/>
    <w:multiLevelType w:val="multilevel"/>
    <w:tmpl w:val="8B06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2F1741"/>
    <w:multiLevelType w:val="hybridMultilevel"/>
    <w:tmpl w:val="9CA8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965F4"/>
    <w:multiLevelType w:val="multilevel"/>
    <w:tmpl w:val="4166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CD072B"/>
    <w:multiLevelType w:val="hybridMultilevel"/>
    <w:tmpl w:val="607AB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4E35B2"/>
    <w:multiLevelType w:val="multilevel"/>
    <w:tmpl w:val="7BE2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53B78"/>
    <w:multiLevelType w:val="hybridMultilevel"/>
    <w:tmpl w:val="5FD6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17513"/>
    <w:multiLevelType w:val="hybridMultilevel"/>
    <w:tmpl w:val="78A2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31103"/>
    <w:multiLevelType w:val="hybridMultilevel"/>
    <w:tmpl w:val="D12C4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D24F64"/>
    <w:multiLevelType w:val="hybridMultilevel"/>
    <w:tmpl w:val="CF6CF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93BC2"/>
    <w:multiLevelType w:val="hybridMultilevel"/>
    <w:tmpl w:val="06A668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F070A4A"/>
    <w:multiLevelType w:val="hybridMultilevel"/>
    <w:tmpl w:val="EC90E5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397901925">
    <w:abstractNumId w:val="16"/>
  </w:num>
  <w:num w:numId="2" w16cid:durableId="1913617430">
    <w:abstractNumId w:val="1"/>
  </w:num>
  <w:num w:numId="3" w16cid:durableId="423845996">
    <w:abstractNumId w:val="25"/>
  </w:num>
  <w:num w:numId="4" w16cid:durableId="751970021">
    <w:abstractNumId w:val="19"/>
  </w:num>
  <w:num w:numId="5" w16cid:durableId="301928263">
    <w:abstractNumId w:val="13"/>
  </w:num>
  <w:num w:numId="6" w16cid:durableId="1140196634">
    <w:abstractNumId w:val="23"/>
  </w:num>
  <w:num w:numId="7" w16cid:durableId="334502750">
    <w:abstractNumId w:val="2"/>
  </w:num>
  <w:num w:numId="8" w16cid:durableId="1118448267">
    <w:abstractNumId w:val="11"/>
  </w:num>
  <w:num w:numId="9" w16cid:durableId="206650971">
    <w:abstractNumId w:val="15"/>
  </w:num>
  <w:num w:numId="10" w16cid:durableId="2118940593">
    <w:abstractNumId w:val="4"/>
  </w:num>
  <w:num w:numId="11" w16cid:durableId="378364920">
    <w:abstractNumId w:val="18"/>
  </w:num>
  <w:num w:numId="12" w16cid:durableId="187762222">
    <w:abstractNumId w:val="22"/>
  </w:num>
  <w:num w:numId="13" w16cid:durableId="705374285">
    <w:abstractNumId w:val="7"/>
  </w:num>
  <w:num w:numId="14" w16cid:durableId="607739812">
    <w:abstractNumId w:val="10"/>
  </w:num>
  <w:num w:numId="15" w16cid:durableId="1457066573">
    <w:abstractNumId w:val="20"/>
  </w:num>
  <w:num w:numId="16" w16cid:durableId="766582016">
    <w:abstractNumId w:val="9"/>
  </w:num>
  <w:num w:numId="17" w16cid:durableId="639923344">
    <w:abstractNumId w:val="6"/>
  </w:num>
  <w:num w:numId="18" w16cid:durableId="1472669317">
    <w:abstractNumId w:val="26"/>
  </w:num>
  <w:num w:numId="19" w16cid:durableId="1309095789">
    <w:abstractNumId w:val="3"/>
  </w:num>
  <w:num w:numId="20" w16cid:durableId="9331694">
    <w:abstractNumId w:val="27"/>
  </w:num>
  <w:num w:numId="21" w16cid:durableId="676271531">
    <w:abstractNumId w:val="21"/>
  </w:num>
  <w:num w:numId="22" w16cid:durableId="335154703">
    <w:abstractNumId w:val="28"/>
  </w:num>
  <w:num w:numId="23" w16cid:durableId="1545865444">
    <w:abstractNumId w:val="14"/>
  </w:num>
  <w:num w:numId="24" w16cid:durableId="259916521">
    <w:abstractNumId w:val="12"/>
  </w:num>
  <w:num w:numId="25" w16cid:durableId="641470742">
    <w:abstractNumId w:val="8"/>
  </w:num>
  <w:num w:numId="26" w16cid:durableId="911507051">
    <w:abstractNumId w:val="0"/>
  </w:num>
  <w:num w:numId="27" w16cid:durableId="49502179">
    <w:abstractNumId w:val="17"/>
  </w:num>
  <w:num w:numId="28" w16cid:durableId="2127583038">
    <w:abstractNumId w:val="5"/>
  </w:num>
  <w:num w:numId="29" w16cid:durableId="5101500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FC"/>
    <w:rsid w:val="00004195"/>
    <w:rsid w:val="00005088"/>
    <w:rsid w:val="00012B31"/>
    <w:rsid w:val="000423F8"/>
    <w:rsid w:val="000959C5"/>
    <w:rsid w:val="000A11AD"/>
    <w:rsid w:val="000A2A39"/>
    <w:rsid w:val="000A5220"/>
    <w:rsid w:val="000A7290"/>
    <w:rsid w:val="000A72E4"/>
    <w:rsid w:val="000C7AA5"/>
    <w:rsid w:val="000D0C3A"/>
    <w:rsid w:val="000D14C4"/>
    <w:rsid w:val="000D5F43"/>
    <w:rsid w:val="000D6E95"/>
    <w:rsid w:val="000E79E3"/>
    <w:rsid w:val="000F0053"/>
    <w:rsid w:val="000F3EB9"/>
    <w:rsid w:val="0011020C"/>
    <w:rsid w:val="001229B0"/>
    <w:rsid w:val="001629F5"/>
    <w:rsid w:val="00163783"/>
    <w:rsid w:val="00175484"/>
    <w:rsid w:val="00187FAF"/>
    <w:rsid w:val="00191905"/>
    <w:rsid w:val="00191C5E"/>
    <w:rsid w:val="00191D18"/>
    <w:rsid w:val="00193181"/>
    <w:rsid w:val="001B0ECC"/>
    <w:rsid w:val="001B651C"/>
    <w:rsid w:val="001D0B04"/>
    <w:rsid w:val="001D245A"/>
    <w:rsid w:val="001D283E"/>
    <w:rsid w:val="001D7B79"/>
    <w:rsid w:val="001F1AA4"/>
    <w:rsid w:val="001F4ED3"/>
    <w:rsid w:val="001F6C78"/>
    <w:rsid w:val="00201D36"/>
    <w:rsid w:val="002059F6"/>
    <w:rsid w:val="0022342D"/>
    <w:rsid w:val="00223504"/>
    <w:rsid w:val="00223B56"/>
    <w:rsid w:val="002518B8"/>
    <w:rsid w:val="002550EB"/>
    <w:rsid w:val="00262E02"/>
    <w:rsid w:val="00264230"/>
    <w:rsid w:val="00265396"/>
    <w:rsid w:val="00265583"/>
    <w:rsid w:val="002A04C3"/>
    <w:rsid w:val="002A1A8A"/>
    <w:rsid w:val="002A2978"/>
    <w:rsid w:val="002B2781"/>
    <w:rsid w:val="002D0978"/>
    <w:rsid w:val="002D1E04"/>
    <w:rsid w:val="002D6676"/>
    <w:rsid w:val="002E06CC"/>
    <w:rsid w:val="002F5375"/>
    <w:rsid w:val="002F58CC"/>
    <w:rsid w:val="00307E65"/>
    <w:rsid w:val="00343626"/>
    <w:rsid w:val="003461A9"/>
    <w:rsid w:val="0035001E"/>
    <w:rsid w:val="00357080"/>
    <w:rsid w:val="00357D8A"/>
    <w:rsid w:val="00357EEE"/>
    <w:rsid w:val="00360A51"/>
    <w:rsid w:val="0036611B"/>
    <w:rsid w:val="003743BF"/>
    <w:rsid w:val="003800DC"/>
    <w:rsid w:val="00381071"/>
    <w:rsid w:val="00384960"/>
    <w:rsid w:val="00394529"/>
    <w:rsid w:val="003962FB"/>
    <w:rsid w:val="00397DEB"/>
    <w:rsid w:val="003A2EE2"/>
    <w:rsid w:val="003B75D4"/>
    <w:rsid w:val="003D19FA"/>
    <w:rsid w:val="003E00C6"/>
    <w:rsid w:val="003F61D6"/>
    <w:rsid w:val="00400140"/>
    <w:rsid w:val="004025BE"/>
    <w:rsid w:val="004076C4"/>
    <w:rsid w:val="00413297"/>
    <w:rsid w:val="00413461"/>
    <w:rsid w:val="00423BBE"/>
    <w:rsid w:val="00441174"/>
    <w:rsid w:val="004438A9"/>
    <w:rsid w:val="00455498"/>
    <w:rsid w:val="00460819"/>
    <w:rsid w:val="0046659C"/>
    <w:rsid w:val="00466A93"/>
    <w:rsid w:val="004708BB"/>
    <w:rsid w:val="0049043A"/>
    <w:rsid w:val="00493C0E"/>
    <w:rsid w:val="004A6EA0"/>
    <w:rsid w:val="004A6EDD"/>
    <w:rsid w:val="004A7361"/>
    <w:rsid w:val="004A7BFE"/>
    <w:rsid w:val="004C0419"/>
    <w:rsid w:val="004C1C9F"/>
    <w:rsid w:val="004C3208"/>
    <w:rsid w:val="004D2832"/>
    <w:rsid w:val="004D672D"/>
    <w:rsid w:val="004D6FDF"/>
    <w:rsid w:val="004E100A"/>
    <w:rsid w:val="004E6850"/>
    <w:rsid w:val="004F01D2"/>
    <w:rsid w:val="004F4FBF"/>
    <w:rsid w:val="00504E46"/>
    <w:rsid w:val="00516467"/>
    <w:rsid w:val="0052543A"/>
    <w:rsid w:val="00531509"/>
    <w:rsid w:val="00531538"/>
    <w:rsid w:val="00546A53"/>
    <w:rsid w:val="00546B81"/>
    <w:rsid w:val="00547A81"/>
    <w:rsid w:val="00550171"/>
    <w:rsid w:val="00554B89"/>
    <w:rsid w:val="00560F91"/>
    <w:rsid w:val="0056200F"/>
    <w:rsid w:val="00567B4C"/>
    <w:rsid w:val="005710A5"/>
    <w:rsid w:val="00573047"/>
    <w:rsid w:val="005735E4"/>
    <w:rsid w:val="00575BFF"/>
    <w:rsid w:val="00577946"/>
    <w:rsid w:val="00585AFB"/>
    <w:rsid w:val="00590850"/>
    <w:rsid w:val="00592B25"/>
    <w:rsid w:val="00593B1E"/>
    <w:rsid w:val="005A0D42"/>
    <w:rsid w:val="005B2565"/>
    <w:rsid w:val="005C57AB"/>
    <w:rsid w:val="005C6FF2"/>
    <w:rsid w:val="005C7E60"/>
    <w:rsid w:val="005E0C3F"/>
    <w:rsid w:val="005E2025"/>
    <w:rsid w:val="005F29C5"/>
    <w:rsid w:val="005F39E2"/>
    <w:rsid w:val="005F4FA8"/>
    <w:rsid w:val="00603BE5"/>
    <w:rsid w:val="00605E7D"/>
    <w:rsid w:val="006224A4"/>
    <w:rsid w:val="006262E8"/>
    <w:rsid w:val="00632248"/>
    <w:rsid w:val="0063305A"/>
    <w:rsid w:val="00633B8E"/>
    <w:rsid w:val="00643B37"/>
    <w:rsid w:val="0064437D"/>
    <w:rsid w:val="00645551"/>
    <w:rsid w:val="006474B5"/>
    <w:rsid w:val="00650036"/>
    <w:rsid w:val="00650071"/>
    <w:rsid w:val="0065013D"/>
    <w:rsid w:val="00657CC6"/>
    <w:rsid w:val="0066091A"/>
    <w:rsid w:val="00660A5F"/>
    <w:rsid w:val="00660AD8"/>
    <w:rsid w:val="00660F17"/>
    <w:rsid w:val="0066365C"/>
    <w:rsid w:val="006677E8"/>
    <w:rsid w:val="006743B0"/>
    <w:rsid w:val="006928B8"/>
    <w:rsid w:val="006A02F8"/>
    <w:rsid w:val="006B2A3F"/>
    <w:rsid w:val="006B40EE"/>
    <w:rsid w:val="006B4132"/>
    <w:rsid w:val="006B5328"/>
    <w:rsid w:val="006C2741"/>
    <w:rsid w:val="006C7FCA"/>
    <w:rsid w:val="006D07C0"/>
    <w:rsid w:val="006E2984"/>
    <w:rsid w:val="006F5B4C"/>
    <w:rsid w:val="006F7058"/>
    <w:rsid w:val="00704F4A"/>
    <w:rsid w:val="00712CB6"/>
    <w:rsid w:val="00723BC1"/>
    <w:rsid w:val="00731872"/>
    <w:rsid w:val="00735F95"/>
    <w:rsid w:val="00753472"/>
    <w:rsid w:val="00760E07"/>
    <w:rsid w:val="0076780B"/>
    <w:rsid w:val="0078127B"/>
    <w:rsid w:val="007848A1"/>
    <w:rsid w:val="007A69AB"/>
    <w:rsid w:val="007B2FD6"/>
    <w:rsid w:val="007B3A57"/>
    <w:rsid w:val="007D0079"/>
    <w:rsid w:val="007D14E6"/>
    <w:rsid w:val="007D3BC3"/>
    <w:rsid w:val="007D6B4A"/>
    <w:rsid w:val="008027FC"/>
    <w:rsid w:val="0080425E"/>
    <w:rsid w:val="008063F1"/>
    <w:rsid w:val="0081052F"/>
    <w:rsid w:val="008116E9"/>
    <w:rsid w:val="0082746C"/>
    <w:rsid w:val="008302E1"/>
    <w:rsid w:val="00832FB3"/>
    <w:rsid w:val="00836CEB"/>
    <w:rsid w:val="00837793"/>
    <w:rsid w:val="00837EE2"/>
    <w:rsid w:val="008409FA"/>
    <w:rsid w:val="00841F9B"/>
    <w:rsid w:val="00864967"/>
    <w:rsid w:val="0086645E"/>
    <w:rsid w:val="00867F9A"/>
    <w:rsid w:val="00872995"/>
    <w:rsid w:val="008807C8"/>
    <w:rsid w:val="0088189A"/>
    <w:rsid w:val="00892A0F"/>
    <w:rsid w:val="008958F0"/>
    <w:rsid w:val="008A12F9"/>
    <w:rsid w:val="008B60E6"/>
    <w:rsid w:val="008C1754"/>
    <w:rsid w:val="008C40BC"/>
    <w:rsid w:val="008C5F45"/>
    <w:rsid w:val="008C63E6"/>
    <w:rsid w:val="008D5310"/>
    <w:rsid w:val="008D53A3"/>
    <w:rsid w:val="008E6D8F"/>
    <w:rsid w:val="008F4F73"/>
    <w:rsid w:val="008F6877"/>
    <w:rsid w:val="00915980"/>
    <w:rsid w:val="009218CD"/>
    <w:rsid w:val="00926A84"/>
    <w:rsid w:val="00933DF6"/>
    <w:rsid w:val="0094455C"/>
    <w:rsid w:val="00955F3A"/>
    <w:rsid w:val="009613A1"/>
    <w:rsid w:val="00963519"/>
    <w:rsid w:val="009736BA"/>
    <w:rsid w:val="009800FA"/>
    <w:rsid w:val="00982F41"/>
    <w:rsid w:val="009B274A"/>
    <w:rsid w:val="009D0ED7"/>
    <w:rsid w:val="009D52AF"/>
    <w:rsid w:val="009D57D3"/>
    <w:rsid w:val="009D5ED2"/>
    <w:rsid w:val="009D5F33"/>
    <w:rsid w:val="009E11DE"/>
    <w:rsid w:val="009F15B5"/>
    <w:rsid w:val="009F1D30"/>
    <w:rsid w:val="00A11696"/>
    <w:rsid w:val="00A41AFE"/>
    <w:rsid w:val="00A425FB"/>
    <w:rsid w:val="00A46DA0"/>
    <w:rsid w:val="00A50973"/>
    <w:rsid w:val="00A57931"/>
    <w:rsid w:val="00A63F45"/>
    <w:rsid w:val="00A6690C"/>
    <w:rsid w:val="00A74228"/>
    <w:rsid w:val="00A82D83"/>
    <w:rsid w:val="00A95C42"/>
    <w:rsid w:val="00AB3C61"/>
    <w:rsid w:val="00AC0D79"/>
    <w:rsid w:val="00AD337C"/>
    <w:rsid w:val="00AD7D99"/>
    <w:rsid w:val="00AE1AF6"/>
    <w:rsid w:val="00AE51B6"/>
    <w:rsid w:val="00AE66E1"/>
    <w:rsid w:val="00B079B6"/>
    <w:rsid w:val="00B2160B"/>
    <w:rsid w:val="00B258FA"/>
    <w:rsid w:val="00B30EF5"/>
    <w:rsid w:val="00B55871"/>
    <w:rsid w:val="00B57CE2"/>
    <w:rsid w:val="00B75DFD"/>
    <w:rsid w:val="00B830BC"/>
    <w:rsid w:val="00BA086D"/>
    <w:rsid w:val="00BA60EA"/>
    <w:rsid w:val="00BB7521"/>
    <w:rsid w:val="00BD620F"/>
    <w:rsid w:val="00BE25A6"/>
    <w:rsid w:val="00C072C0"/>
    <w:rsid w:val="00C23DD7"/>
    <w:rsid w:val="00C325AA"/>
    <w:rsid w:val="00C34A92"/>
    <w:rsid w:val="00C3569E"/>
    <w:rsid w:val="00C401FE"/>
    <w:rsid w:val="00C43F8E"/>
    <w:rsid w:val="00C46D46"/>
    <w:rsid w:val="00C52283"/>
    <w:rsid w:val="00C53BBF"/>
    <w:rsid w:val="00C56FE9"/>
    <w:rsid w:val="00C57E40"/>
    <w:rsid w:val="00C67B4B"/>
    <w:rsid w:val="00C74C23"/>
    <w:rsid w:val="00C75D19"/>
    <w:rsid w:val="00C82559"/>
    <w:rsid w:val="00C9757A"/>
    <w:rsid w:val="00CA005F"/>
    <w:rsid w:val="00CB441A"/>
    <w:rsid w:val="00CC1349"/>
    <w:rsid w:val="00CC26FC"/>
    <w:rsid w:val="00CC59C3"/>
    <w:rsid w:val="00CC63FC"/>
    <w:rsid w:val="00CC6E51"/>
    <w:rsid w:val="00CD5BEC"/>
    <w:rsid w:val="00CF76CF"/>
    <w:rsid w:val="00D05DAB"/>
    <w:rsid w:val="00D35D01"/>
    <w:rsid w:val="00D427E9"/>
    <w:rsid w:val="00D742B4"/>
    <w:rsid w:val="00D74C03"/>
    <w:rsid w:val="00D7716F"/>
    <w:rsid w:val="00D846FD"/>
    <w:rsid w:val="00D85DA2"/>
    <w:rsid w:val="00D86EAF"/>
    <w:rsid w:val="00DA0010"/>
    <w:rsid w:val="00DA23AA"/>
    <w:rsid w:val="00DA7744"/>
    <w:rsid w:val="00DA7CC5"/>
    <w:rsid w:val="00DB08D4"/>
    <w:rsid w:val="00DC3BC2"/>
    <w:rsid w:val="00DD5B2F"/>
    <w:rsid w:val="00DE162D"/>
    <w:rsid w:val="00DF0A43"/>
    <w:rsid w:val="00DF0B38"/>
    <w:rsid w:val="00DF2C6B"/>
    <w:rsid w:val="00E07ECE"/>
    <w:rsid w:val="00E12B58"/>
    <w:rsid w:val="00E15315"/>
    <w:rsid w:val="00E15A21"/>
    <w:rsid w:val="00E23800"/>
    <w:rsid w:val="00E34DF5"/>
    <w:rsid w:val="00E3662F"/>
    <w:rsid w:val="00E61F99"/>
    <w:rsid w:val="00E66B50"/>
    <w:rsid w:val="00E67678"/>
    <w:rsid w:val="00E73587"/>
    <w:rsid w:val="00E80023"/>
    <w:rsid w:val="00E868ED"/>
    <w:rsid w:val="00E923DB"/>
    <w:rsid w:val="00E92D9C"/>
    <w:rsid w:val="00E97DAA"/>
    <w:rsid w:val="00EA594E"/>
    <w:rsid w:val="00EB309A"/>
    <w:rsid w:val="00EB38F3"/>
    <w:rsid w:val="00EB5F33"/>
    <w:rsid w:val="00EC0C64"/>
    <w:rsid w:val="00EC2E1B"/>
    <w:rsid w:val="00ED5A98"/>
    <w:rsid w:val="00EF0EE1"/>
    <w:rsid w:val="00F072B0"/>
    <w:rsid w:val="00F14949"/>
    <w:rsid w:val="00F228D9"/>
    <w:rsid w:val="00F319BA"/>
    <w:rsid w:val="00F362D6"/>
    <w:rsid w:val="00F42B6B"/>
    <w:rsid w:val="00F4463D"/>
    <w:rsid w:val="00F46928"/>
    <w:rsid w:val="00F47FC4"/>
    <w:rsid w:val="00F50014"/>
    <w:rsid w:val="00F51EB9"/>
    <w:rsid w:val="00F57C94"/>
    <w:rsid w:val="00F8231C"/>
    <w:rsid w:val="00F94E41"/>
    <w:rsid w:val="00FA0BF5"/>
    <w:rsid w:val="00FA10DE"/>
    <w:rsid w:val="00FA5AB7"/>
    <w:rsid w:val="00FB4376"/>
    <w:rsid w:val="00FB4C57"/>
    <w:rsid w:val="00FC28C3"/>
    <w:rsid w:val="00FE795E"/>
    <w:rsid w:val="774605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B864"/>
  <w15:chartTrackingRefBased/>
  <w15:docId w15:val="{BB82AE61-2EBE-4C39-BB7C-5FE8A23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FC"/>
    <w:rPr>
      <w:rFonts w:eastAsiaTheme="majorEastAsia" w:cstheme="majorBidi"/>
      <w:color w:val="272727" w:themeColor="text1" w:themeTint="D8"/>
    </w:rPr>
  </w:style>
  <w:style w:type="paragraph" w:styleId="Title">
    <w:name w:val="Title"/>
    <w:basedOn w:val="Normal"/>
    <w:next w:val="Normal"/>
    <w:link w:val="TitleChar"/>
    <w:uiPriority w:val="10"/>
    <w:qFormat/>
    <w:rsid w:val="00802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FC"/>
    <w:pPr>
      <w:spacing w:before="160"/>
      <w:jc w:val="center"/>
    </w:pPr>
    <w:rPr>
      <w:i/>
      <w:iCs/>
      <w:color w:val="404040" w:themeColor="text1" w:themeTint="BF"/>
    </w:rPr>
  </w:style>
  <w:style w:type="character" w:customStyle="1" w:styleId="QuoteChar">
    <w:name w:val="Quote Char"/>
    <w:basedOn w:val="DefaultParagraphFont"/>
    <w:link w:val="Quote"/>
    <w:uiPriority w:val="29"/>
    <w:rsid w:val="008027FC"/>
    <w:rPr>
      <w:i/>
      <w:iCs/>
      <w:color w:val="404040" w:themeColor="text1" w:themeTint="BF"/>
    </w:rPr>
  </w:style>
  <w:style w:type="paragraph" w:styleId="ListParagraph">
    <w:name w:val="List Paragraph"/>
    <w:basedOn w:val="Normal"/>
    <w:uiPriority w:val="34"/>
    <w:qFormat/>
    <w:rsid w:val="008027FC"/>
    <w:pPr>
      <w:ind w:left="720"/>
      <w:contextualSpacing/>
    </w:pPr>
  </w:style>
  <w:style w:type="character" w:styleId="IntenseEmphasis">
    <w:name w:val="Intense Emphasis"/>
    <w:basedOn w:val="DefaultParagraphFont"/>
    <w:uiPriority w:val="21"/>
    <w:qFormat/>
    <w:rsid w:val="008027FC"/>
    <w:rPr>
      <w:i/>
      <w:iCs/>
      <w:color w:val="0F4761" w:themeColor="accent1" w:themeShade="BF"/>
    </w:rPr>
  </w:style>
  <w:style w:type="paragraph" w:styleId="IntenseQuote">
    <w:name w:val="Intense Quote"/>
    <w:basedOn w:val="Normal"/>
    <w:next w:val="Normal"/>
    <w:link w:val="IntenseQuoteChar"/>
    <w:uiPriority w:val="30"/>
    <w:qFormat/>
    <w:rsid w:val="00802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FC"/>
    <w:rPr>
      <w:i/>
      <w:iCs/>
      <w:color w:val="0F4761" w:themeColor="accent1" w:themeShade="BF"/>
    </w:rPr>
  </w:style>
  <w:style w:type="character" w:styleId="IntenseReference">
    <w:name w:val="Intense Reference"/>
    <w:basedOn w:val="DefaultParagraphFont"/>
    <w:uiPriority w:val="32"/>
    <w:qFormat/>
    <w:rsid w:val="008027FC"/>
    <w:rPr>
      <w:b/>
      <w:bCs/>
      <w:smallCaps/>
      <w:color w:val="0F4761" w:themeColor="accent1" w:themeShade="BF"/>
      <w:spacing w:val="5"/>
    </w:rPr>
  </w:style>
  <w:style w:type="character" w:styleId="Hyperlink">
    <w:name w:val="Hyperlink"/>
    <w:basedOn w:val="DefaultParagraphFont"/>
    <w:uiPriority w:val="99"/>
    <w:unhideWhenUsed/>
    <w:rsid w:val="00343626"/>
    <w:rPr>
      <w:color w:val="467886" w:themeColor="hyperlink"/>
      <w:u w:val="single"/>
    </w:rPr>
  </w:style>
  <w:style w:type="character" w:styleId="UnresolvedMention">
    <w:name w:val="Unresolved Mention"/>
    <w:basedOn w:val="DefaultParagraphFont"/>
    <w:uiPriority w:val="99"/>
    <w:semiHidden/>
    <w:unhideWhenUsed/>
    <w:rsid w:val="00343626"/>
    <w:rPr>
      <w:color w:val="605E5C"/>
      <w:shd w:val="clear" w:color="auto" w:fill="E1DFDD"/>
    </w:rPr>
  </w:style>
  <w:style w:type="character" w:styleId="CommentReference">
    <w:name w:val="annotation reference"/>
    <w:basedOn w:val="DefaultParagraphFont"/>
    <w:uiPriority w:val="99"/>
    <w:semiHidden/>
    <w:unhideWhenUsed/>
    <w:rsid w:val="00343626"/>
    <w:rPr>
      <w:sz w:val="16"/>
      <w:szCs w:val="16"/>
    </w:rPr>
  </w:style>
  <w:style w:type="paragraph" w:styleId="CommentText">
    <w:name w:val="annotation text"/>
    <w:basedOn w:val="Normal"/>
    <w:link w:val="CommentTextChar"/>
    <w:uiPriority w:val="99"/>
    <w:unhideWhenUsed/>
    <w:rsid w:val="00343626"/>
    <w:pPr>
      <w:spacing w:line="240" w:lineRule="auto"/>
    </w:pPr>
    <w:rPr>
      <w:sz w:val="20"/>
      <w:szCs w:val="20"/>
    </w:rPr>
  </w:style>
  <w:style w:type="character" w:customStyle="1" w:styleId="CommentTextChar">
    <w:name w:val="Comment Text Char"/>
    <w:basedOn w:val="DefaultParagraphFont"/>
    <w:link w:val="CommentText"/>
    <w:uiPriority w:val="99"/>
    <w:rsid w:val="00343626"/>
    <w:rPr>
      <w:sz w:val="20"/>
      <w:szCs w:val="20"/>
    </w:rPr>
  </w:style>
  <w:style w:type="paragraph" w:styleId="CommentSubject">
    <w:name w:val="annotation subject"/>
    <w:basedOn w:val="CommentText"/>
    <w:next w:val="CommentText"/>
    <w:link w:val="CommentSubjectChar"/>
    <w:uiPriority w:val="99"/>
    <w:semiHidden/>
    <w:unhideWhenUsed/>
    <w:rsid w:val="00343626"/>
    <w:rPr>
      <w:b/>
      <w:bCs/>
    </w:rPr>
  </w:style>
  <w:style w:type="character" w:customStyle="1" w:styleId="CommentSubjectChar">
    <w:name w:val="Comment Subject Char"/>
    <w:basedOn w:val="CommentTextChar"/>
    <w:link w:val="CommentSubject"/>
    <w:uiPriority w:val="99"/>
    <w:semiHidden/>
    <w:rsid w:val="00343626"/>
    <w:rPr>
      <w:b/>
      <w:bCs/>
      <w:sz w:val="20"/>
      <w:szCs w:val="20"/>
    </w:rPr>
  </w:style>
  <w:style w:type="paragraph" w:styleId="Revision">
    <w:name w:val="Revision"/>
    <w:hidden/>
    <w:uiPriority w:val="99"/>
    <w:semiHidden/>
    <w:rsid w:val="00343626"/>
    <w:pPr>
      <w:spacing w:after="0" w:line="240" w:lineRule="auto"/>
    </w:pPr>
  </w:style>
  <w:style w:type="table" w:styleId="TableGrid">
    <w:name w:val="Table Grid"/>
    <w:basedOn w:val="TableNormal"/>
    <w:uiPriority w:val="39"/>
    <w:rsid w:val="00EC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CC"/>
  </w:style>
  <w:style w:type="paragraph" w:styleId="Footer">
    <w:name w:val="footer"/>
    <w:basedOn w:val="Normal"/>
    <w:link w:val="FooterChar"/>
    <w:uiPriority w:val="99"/>
    <w:unhideWhenUsed/>
    <w:rsid w:val="002E0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CC"/>
  </w:style>
  <w:style w:type="character" w:styleId="FollowedHyperlink">
    <w:name w:val="FollowedHyperlink"/>
    <w:basedOn w:val="DefaultParagraphFont"/>
    <w:uiPriority w:val="99"/>
    <w:semiHidden/>
    <w:unhideWhenUsed/>
    <w:rsid w:val="004076C4"/>
    <w:rPr>
      <w:color w:val="96607D" w:themeColor="followedHyperlink"/>
      <w:u w:val="single"/>
    </w:rPr>
  </w:style>
  <w:style w:type="character" w:customStyle="1" w:styleId="normaltextrun">
    <w:name w:val="normaltextrun"/>
    <w:basedOn w:val="DefaultParagraphFont"/>
    <w:rsid w:val="00E923DB"/>
  </w:style>
  <w:style w:type="paragraph" w:customStyle="1" w:styleId="paragraph">
    <w:name w:val="paragraph"/>
    <w:basedOn w:val="Normal"/>
    <w:rsid w:val="00DA7C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DA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cdo-small-to-medium-sized-enterprise-sme-action-plan/small-to-medium-sized-enterprise-sme-action-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dda.org/wp-content/uploads/sites/162/2026/03/Updated-CADDA-KTVs-Application-Template-Form-09-Mar-26.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dda@kent.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1C981C7AF034CBEA53E1C8C6914D6" ma:contentTypeVersion="17" ma:contentTypeDescription="Create a new document." ma:contentTypeScope="" ma:versionID="e777859cf8f9877720368aedd7831f20">
  <xsd:schema xmlns:xsd="http://www.w3.org/2001/XMLSchema" xmlns:xs="http://www.w3.org/2001/XMLSchema" xmlns:p="http://schemas.microsoft.com/office/2006/metadata/properties" xmlns:ns2="6e5341fb-b540-49b1-b6fc-5ab46ff95cc2" xmlns:ns3="32fea171-ee24-42d0-866a-1aec49ea3aff" targetNamespace="http://schemas.microsoft.com/office/2006/metadata/properties" ma:root="true" ma:fieldsID="f42ebcc93a55dfe9d8b82f91e12d4229" ns2:_="" ns3:_="">
    <xsd:import namespace="6e5341fb-b540-49b1-b6fc-5ab46ff95cc2"/>
    <xsd:import namespace="32fea171-ee24-42d0-866a-1aec49ea3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341fb-b540-49b1-b6fc-5ab46ff9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ea171-ee24-42d0-866a-1aec49ea3a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a1a6c1-b3a3-4824-b4c5-2827564941d0}" ma:internalName="TaxCatchAll" ma:showField="CatchAllData" ma:web="32fea171-ee24-42d0-866a-1aec49ea3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fea171-ee24-42d0-866a-1aec49ea3aff" xsi:nil="true"/>
    <lcf76f155ced4ddcb4097134ff3c332f xmlns="6e5341fb-b540-49b1-b6fc-5ab46ff95c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0F2B-FA91-4943-8C8E-12230E5D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341fb-b540-49b1-b6fc-5ab46ff95cc2"/>
    <ds:schemaRef ds:uri="32fea171-ee24-42d0-866a-1aec49ea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DF616-5B8A-4FAE-8E8C-CF09F160D000}">
  <ds:schemaRefs>
    <ds:schemaRef ds:uri="http://schemas.microsoft.com/office/2006/metadata/properties"/>
    <ds:schemaRef ds:uri="http://schemas.microsoft.com/office/infopath/2007/PartnerControls"/>
    <ds:schemaRef ds:uri="32fea171-ee24-42d0-866a-1aec49ea3aff"/>
    <ds:schemaRef ds:uri="6e5341fb-b540-49b1-b6fc-5ab46ff95cc2"/>
  </ds:schemaRefs>
</ds:datastoreItem>
</file>

<file path=customXml/itemProps3.xml><?xml version="1.0" encoding="utf-8"?>
<ds:datastoreItem xmlns:ds="http://schemas.openxmlformats.org/officeDocument/2006/customXml" ds:itemID="{A0B139C5-909B-43F9-9BE8-8BB1A0E79F7A}">
  <ds:schemaRefs>
    <ds:schemaRef ds:uri="http://schemas.microsoft.com/sharepoint/v3/contenttype/forms"/>
  </ds:schemaRefs>
</ds:datastoreItem>
</file>

<file path=customXml/itemProps4.xml><?xml version="1.0" encoding="utf-8"?>
<ds:datastoreItem xmlns:ds="http://schemas.openxmlformats.org/officeDocument/2006/customXml" ds:itemID="{18702346-4EE2-40E2-8A3F-EB2D7D635E6E}">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2247</Words>
  <Characters>12808</Characters>
  <Application>Microsoft Office Word</Application>
  <DocSecurity>0</DocSecurity>
  <Lines>106</Lines>
  <Paragraphs>30</Paragraphs>
  <ScaleCrop>false</ScaleCrop>
  <Company>University of Kent</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Simpson</dc:creator>
  <cp:keywords/>
  <dc:description/>
  <cp:lastModifiedBy>Diala Nikolaeva</cp:lastModifiedBy>
  <cp:revision>54</cp:revision>
  <dcterms:created xsi:type="dcterms:W3CDTF">2026-03-11T21:26:00Z</dcterms:created>
  <dcterms:modified xsi:type="dcterms:W3CDTF">2026-03-16T09:55:00Z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0x0101003F91C981C7AF034CBEA53E1C8C6914D6</vt:lpwstr>
  </property>
  <property fmtid="{D5CDD505-2E9C-101B-9397-08002B2CF9AE}" pid="3" name="MediaServiceImageTags">
    <vt:lpwstr/>
  </property>
  <property fmtid="{D5CDD505-2E9C-101B-9397-08002B2CF9AE}" pid="4" name="GrammarlyDocumentId">
    <vt:lpwstr>330e073d-157a-4a04-91a0-e40647eddd9f</vt:lpwstr>
  </property>
</Properties>
</file>